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环境卫生管理处</w:t>
      </w:r>
      <w:r>
        <w:rPr>
          <w:rFonts w:hint="eastAsia" w:ascii="TimesNewRoman" w:hAnsi="TimesNewRoman" w:eastAsia="华文中宋" w:cs="TimesNewRoman"/>
          <w:b/>
          <w:sz w:val="44"/>
          <w:szCs w:val="44"/>
        </w:rPr>
        <w:t>2025年单位预算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hint="eastAsia"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bookmarkStart w:id="0" w:name="OLE_LINK1"/>
      <w:r>
        <w:rPr>
          <w:rFonts w:hint="eastAsia" w:ascii="TimesNewRoman" w:hAnsi="TimesNewRoman" w:eastAsia="仿宋_GB2312" w:cs="TimesNewRoman"/>
          <w:bCs/>
          <w:sz w:val="32"/>
          <w:szCs w:val="32"/>
          <w:lang w:eastAsia="zh-CN"/>
        </w:rPr>
        <w:t>环境卫生管理处</w:t>
      </w:r>
      <w:bookmarkEnd w:id="0"/>
      <w:r>
        <w:rPr>
          <w:rFonts w:hint="eastAsia" w:ascii="TimesNewRoman" w:hAnsi="TimesNewRoman" w:eastAsia="仿宋_GB2312" w:cs="TimesNewRoman"/>
          <w:bCs/>
          <w:sz w:val="32"/>
          <w:szCs w:val="32"/>
        </w:rPr>
        <w:t>2025年收支总表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bookmarkStart w:id="1" w:name="OLE_LINK2"/>
      <w:r>
        <w:rPr>
          <w:rFonts w:hint="eastAsia" w:ascii="TimesNewRoman" w:hAnsi="TimesNewRoman" w:eastAsia="仿宋_GB2312" w:cs="TimesNewRoman"/>
          <w:bCs/>
          <w:sz w:val="32"/>
          <w:szCs w:val="32"/>
          <w:lang w:eastAsia="zh-CN"/>
        </w:rPr>
        <w:t>环境卫生管理处</w:t>
      </w:r>
      <w:bookmarkEnd w:id="1"/>
      <w:r>
        <w:rPr>
          <w:rFonts w:hint="eastAsia" w:ascii="TimesNewRoman" w:hAnsi="TimesNewRoman" w:eastAsia="仿宋_GB2312" w:cs="TimesNewRoman"/>
          <w:bCs/>
          <w:sz w:val="32"/>
          <w:szCs w:val="32"/>
        </w:rPr>
        <w:t>2025年国有资本经营预算支出表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bookmarkStart w:id="2" w:name="OLE_LINK4"/>
      <w:r>
        <w:rPr>
          <w:rFonts w:hint="eastAsia" w:ascii="TimesNewRoman" w:hAnsi="TimesNewRoman" w:eastAsia="仿宋_GB2312" w:cs="TimesNewRoman"/>
          <w:bCs/>
          <w:sz w:val="32"/>
          <w:szCs w:val="32"/>
          <w:lang w:eastAsia="zh-CN"/>
        </w:rPr>
        <w:t>环境卫生管理处</w:t>
      </w:r>
      <w:bookmarkEnd w:id="2"/>
      <w:r>
        <w:rPr>
          <w:rFonts w:hint="eastAsia" w:ascii="TimesNewRoman" w:hAnsi="TimesNewRoman" w:eastAsia="仿宋_GB2312" w:cs="TimesNewRoman"/>
          <w:bCs/>
          <w:sz w:val="32"/>
          <w:szCs w:val="32"/>
        </w:rPr>
        <w:t>2025年项目支出表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环境卫生管理处</w:t>
      </w:r>
      <w:r>
        <w:rPr>
          <w:rFonts w:ascii="TimesNewRoman" w:hAnsi="TimesNewRoman" w:eastAsia="仿宋_GB2312" w:cs="TimesNewRoman"/>
          <w:bCs/>
          <w:sz w:val="32"/>
          <w:szCs w:val="32"/>
        </w:rPr>
        <w:t>2025年通用资产配置支出表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bookmarkStart w:id="36" w:name="_GoBack"/>
      <w:bookmarkEnd w:id="36"/>
      <w:r>
        <w:rPr>
          <w:rFonts w:hint="eastAsia" w:ascii="TimesNewRoman" w:hAnsi="TimesNewRoman" w:eastAsia="仿宋_GB2312" w:cs="TimesNewRoman"/>
          <w:bCs/>
          <w:sz w:val="32"/>
          <w:szCs w:val="32"/>
        </w:rPr>
        <w:t>2、关于2025年收入总表的说明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bCs/>
          <w:sz w:val="32"/>
          <w:szCs w:val="32"/>
        </w:rPr>
        <w:t>2025年部门预算专项资金管理清单（专栏公开）</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ascii="仿宋_GB2312" w:hAnsi="仿宋" w:eastAsia="仿宋_GB2312" w:cs="宋体"/>
          <w:kern w:val="0"/>
          <w:sz w:val="32"/>
          <w:szCs w:val="32"/>
        </w:rPr>
      </w:pPr>
      <w:r>
        <w:rPr>
          <w:rFonts w:hint="eastAsia" w:ascii="TimesNewRoman" w:hAnsi="TimesNewRoman" w:eastAsia="仿宋_GB2312" w:cs="TimesNewRoman"/>
          <w:bCs/>
          <w:sz w:val="32"/>
          <w:szCs w:val="32"/>
        </w:rPr>
        <w:t>（一）</w:t>
      </w:r>
      <w:r>
        <w:rPr>
          <w:rFonts w:hint="eastAsia" w:ascii="仿宋_GB2312" w:hAnsi="仿宋" w:eastAsia="仿宋_GB2312" w:cs="宋体"/>
          <w:kern w:val="0"/>
          <w:sz w:val="32"/>
          <w:szCs w:val="32"/>
        </w:rPr>
        <w:t>负责全市环境卫生管理行业发展规划、作业规范、标准的制定。</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(二)负责组织编制全书城市环境卫生专项规划。</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（三）负责城区环卫保洁作业的督查、考核。</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（四）负责大中型市容环卫公用设施建设项目的前期审查和竣工验收工作。</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（五）负责全市城区垃圾分类及生活垃圾、餐厨垃圾、粪便无害化处理的指导、监督、考核。</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（六）负责生活垃圾处置项目餐厨垃圾处置项目的运行监管。</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（七）负责农村生活垃圾治理、农村清洁工程、城乡环卫一体化建设项目的指导、监督、考核。</w:t>
      </w:r>
    </w:p>
    <w:p>
      <w:pPr>
        <w:adjustRightInd w:val="0"/>
        <w:snapToGrid w:val="0"/>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（八）承办市政府交办的其他事项。</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cs="仿宋"/>
          <w:bCs/>
          <w:sz w:val="32"/>
          <w:szCs w:val="32"/>
          <w:lang w:eastAsia="zh-CN"/>
        </w:rPr>
      </w:pPr>
      <w:r>
        <w:rPr>
          <w:rFonts w:hint="eastAsia" w:ascii="TimesNewRoman" w:hAnsi="TimesNewRoman" w:eastAsia="仿宋_GB2312" w:cs="TimesNewRoman"/>
          <w:sz w:val="32"/>
          <w:szCs w:val="32"/>
        </w:rPr>
        <w:t>从预算单位构成看，</w:t>
      </w:r>
      <w:r>
        <w:rPr>
          <w:rFonts w:hint="eastAsia" w:ascii="仿宋_GB2312" w:hAnsi="仿宋" w:eastAsia="仿宋_GB2312"/>
          <w:sz w:val="32"/>
          <w:szCs w:val="32"/>
        </w:rPr>
        <w:t>淮北市环境卫生管理处</w:t>
      </w:r>
      <w:r>
        <w:rPr>
          <w:rFonts w:hint="eastAsia" w:ascii="仿宋_GB2312" w:hAnsi="仿宋" w:eastAsia="仿宋_GB2312" w:cs="仿宋"/>
          <w:bCs/>
          <w:sz w:val="32"/>
          <w:szCs w:val="32"/>
        </w:rPr>
        <w:t>隶属于市城管局，单位性质为全额拨款事业单位。截止到202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年12月31日，淮北市环境卫生管理处实有各类人员2</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人，其中在职人员</w:t>
      </w:r>
      <w:r>
        <w:rPr>
          <w:rFonts w:hint="eastAsia" w:ascii="仿宋_GB2312" w:hAnsi="仿宋" w:eastAsia="仿宋_GB2312" w:cs="仿宋"/>
          <w:bCs/>
          <w:sz w:val="32"/>
          <w:szCs w:val="32"/>
          <w:lang w:val="en-US" w:eastAsia="zh-CN"/>
        </w:rPr>
        <w:t>36</w:t>
      </w:r>
      <w:r>
        <w:rPr>
          <w:rFonts w:hint="eastAsia" w:ascii="仿宋_GB2312" w:hAnsi="仿宋" w:eastAsia="仿宋_GB2312" w:cs="仿宋"/>
          <w:bCs/>
          <w:sz w:val="32"/>
          <w:szCs w:val="32"/>
        </w:rPr>
        <w:t>人，退休人员1</w:t>
      </w:r>
      <w:r>
        <w:rPr>
          <w:rFonts w:hint="eastAsia" w:ascii="仿宋_GB2312" w:hAnsi="仿宋" w:eastAsia="仿宋_GB2312" w:cs="仿宋"/>
          <w:bCs/>
          <w:sz w:val="32"/>
          <w:szCs w:val="32"/>
          <w:lang w:val="en-US" w:eastAsia="zh-CN"/>
        </w:rPr>
        <w:t>88</w:t>
      </w:r>
      <w:r>
        <w:rPr>
          <w:rFonts w:hint="eastAsia" w:ascii="仿宋_GB2312" w:hAnsi="仿宋" w:eastAsia="仿宋_GB2312" w:cs="仿宋"/>
          <w:bCs/>
          <w:sz w:val="32"/>
          <w:szCs w:val="32"/>
        </w:rPr>
        <w:t>人</w:t>
      </w:r>
      <w:r>
        <w:rPr>
          <w:rFonts w:hint="eastAsia" w:ascii="仿宋_GB2312" w:hAnsi="仿宋" w:eastAsia="仿宋_GB2312" w:cs="仿宋"/>
          <w:bCs/>
          <w:sz w:val="32"/>
          <w:szCs w:val="32"/>
          <w:lang w:eastAsia="zh-CN"/>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cs="仿宋"/>
          <w:bCs/>
          <w:sz w:val="32"/>
          <w:szCs w:val="32"/>
        </w:rPr>
      </w:pPr>
      <w:r>
        <w:rPr>
          <w:rFonts w:hint="eastAsia" w:ascii="仿宋_GB2312" w:hAnsi="仿宋" w:eastAsia="仿宋_GB2312" w:cs="仿宋"/>
          <w:bCs/>
          <w:sz w:val="32"/>
          <w:szCs w:val="32"/>
        </w:rPr>
        <w:t>（一）做好环卫规划编制工作。（二）</w:t>
      </w:r>
      <w:r>
        <w:rPr>
          <w:rFonts w:hint="eastAsia" w:ascii="仿宋_GB2312" w:hAnsi="仿宋" w:eastAsia="仿宋_GB2312" w:cs="仿宋"/>
          <w:bCs/>
          <w:sz w:val="32"/>
          <w:szCs w:val="32"/>
          <w:lang w:val="en-US" w:eastAsia="zh-CN"/>
        </w:rPr>
        <w:t>不断提升环卫保洁作业水平。（三）扎</w:t>
      </w:r>
      <w:bookmarkStart w:id="3" w:name="OLE_LINK3"/>
      <w:r>
        <w:rPr>
          <w:rFonts w:hint="eastAsia" w:ascii="仿宋_GB2312" w:hAnsi="仿宋" w:eastAsia="仿宋_GB2312" w:cs="仿宋"/>
          <w:bCs/>
          <w:sz w:val="32"/>
          <w:szCs w:val="32"/>
          <w:lang w:val="en-US" w:eastAsia="zh-CN"/>
        </w:rPr>
        <w:t>实推进生活垃圾分类工作。</w:t>
      </w:r>
      <w:bookmarkEnd w:id="3"/>
      <w:r>
        <w:rPr>
          <w:rFonts w:hint="eastAsia" w:ascii="仿宋_GB2312" w:hAnsi="仿宋" w:eastAsia="仿宋_GB2312" w:cs="仿宋"/>
          <w:bCs/>
          <w:sz w:val="32"/>
          <w:szCs w:val="32"/>
          <w:lang w:val="en-US" w:eastAsia="zh-CN"/>
        </w:rPr>
        <w:t>（四）积极推进垃圾无害化处理工作。（五）不断加大农村生活垃圾治理力度。</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sz w:val="32"/>
          <w:szCs w:val="32"/>
        </w:rPr>
        <w:t>万元，收入全部是一般公共预算拨款收入</w:t>
      </w:r>
      <w:bookmarkStart w:id="4" w:name="OLE_LINK5"/>
      <w:r>
        <w:rPr>
          <w:rFonts w:hint="eastAsia" w:ascii="TimesNewRoman" w:hAnsi="TimesNewRoman" w:eastAsia="仿宋_GB2312" w:cs="TimesNewRoman"/>
          <w:sz w:val="32"/>
          <w:szCs w:val="32"/>
          <w:lang w:val="en-US" w:eastAsia="zh-CN"/>
        </w:rPr>
        <w:t>16284.61</w:t>
      </w:r>
      <w:bookmarkEnd w:id="4"/>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支出包括：社会保障和就业支出</w:t>
      </w:r>
      <w:r>
        <w:rPr>
          <w:rFonts w:hint="eastAsia" w:ascii="TimesNewRoman" w:hAnsi="TimesNewRoman" w:eastAsia="仿宋_GB2312" w:cs="TimesNewRoman"/>
          <w:sz w:val="32"/>
          <w:szCs w:val="32"/>
          <w:lang w:val="en-US" w:eastAsia="zh-CN"/>
        </w:rPr>
        <w:t>560.57万元</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54.21万元</w:t>
      </w: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城乡社区支出</w:t>
      </w:r>
      <w:r>
        <w:rPr>
          <w:rFonts w:hint="eastAsia" w:ascii="TimesNewRoman" w:hAnsi="TimesNewRoman" w:eastAsia="仿宋_GB2312" w:cs="TimesNewRoman"/>
          <w:sz w:val="32"/>
          <w:szCs w:val="32"/>
          <w:lang w:val="en-US" w:eastAsia="zh-CN"/>
        </w:rPr>
        <w:t>15579.4万元、</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90.44万元</w:t>
      </w:r>
      <w:r>
        <w:rPr>
          <w:rFonts w:hint="eastAsia" w:ascii="TimesNewRoman" w:hAnsi="TimesNewRoman" w:eastAsia="仿宋_GB2312" w:cs="TimesNewRoman"/>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2025年收入预算</w:t>
      </w:r>
      <w:bookmarkStart w:id="5" w:name="OLE_LINK6"/>
      <w:r>
        <w:rPr>
          <w:rFonts w:hint="eastAsia" w:ascii="TimesNewRoman" w:hAnsi="TimesNewRoman" w:eastAsia="仿宋_GB2312" w:cs="TimesNewRoman"/>
          <w:sz w:val="32"/>
          <w:szCs w:val="32"/>
          <w:lang w:val="en-US" w:eastAsia="zh-CN"/>
        </w:rPr>
        <w:t>16284.61</w:t>
      </w:r>
      <w:bookmarkEnd w:id="5"/>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bookmarkStart w:id="6" w:name="OLE_LINK9"/>
      <w:r>
        <w:rPr>
          <w:rFonts w:hint="eastAsia" w:ascii="TimesNewRoman" w:hAnsi="TimesNewRoman" w:eastAsia="仿宋_GB2312" w:cs="TimesNewRoman"/>
          <w:sz w:val="32"/>
          <w:szCs w:val="32"/>
          <w:lang w:val="en-US" w:eastAsia="zh-CN"/>
        </w:rPr>
        <w:t>16284.61</w:t>
      </w:r>
      <w:bookmarkEnd w:id="6"/>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w:t>
      </w:r>
      <w:bookmarkStart w:id="7" w:name="OLE_LINK7"/>
      <w:r>
        <w:rPr>
          <w:rFonts w:hint="eastAsia" w:ascii="TimesNewRoman" w:hAnsi="TimesNewRoman" w:eastAsia="仿宋_GB2312" w:cs="TimesNewRoman"/>
          <w:kern w:val="0"/>
          <w:sz w:val="32"/>
          <w:szCs w:val="32"/>
        </w:rPr>
        <w:t>减少</w:t>
      </w:r>
      <w:bookmarkEnd w:id="7"/>
      <w:bookmarkStart w:id="8" w:name="OLE_LINK8"/>
      <w:r>
        <w:rPr>
          <w:rFonts w:hint="eastAsia" w:ascii="TimesNewRoman" w:hAnsi="TimesNewRoman" w:eastAsia="仿宋_GB2312" w:cs="TimesNewRoman"/>
          <w:kern w:val="0"/>
          <w:sz w:val="32"/>
          <w:szCs w:val="32"/>
          <w:lang w:val="en-US" w:eastAsia="zh-CN"/>
        </w:rPr>
        <w:t>50.47</w:t>
      </w:r>
      <w:bookmarkEnd w:id="8"/>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退休人员的退休费、社保缴费和环卫工作经费调整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万元，比2024年预算减少</w:t>
      </w:r>
      <w:bookmarkStart w:id="9" w:name="OLE_LINK12"/>
      <w:r>
        <w:rPr>
          <w:rFonts w:hint="eastAsia" w:ascii="TimesNewRoman" w:hAnsi="TimesNewRoman" w:eastAsia="仿宋_GB2312" w:cs="TimesNewRoman"/>
          <w:kern w:val="0"/>
          <w:sz w:val="32"/>
          <w:szCs w:val="32"/>
          <w:lang w:val="en-US" w:eastAsia="zh-CN"/>
        </w:rPr>
        <w:t>50.47</w:t>
      </w:r>
      <w:bookmarkEnd w:id="9"/>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%，原因主要是</w:t>
      </w:r>
      <w:bookmarkStart w:id="10" w:name="OLE_LINK13"/>
      <w:bookmarkStart w:id="11" w:name="OLE_LINK23"/>
      <w:r>
        <w:rPr>
          <w:rFonts w:hint="eastAsia" w:ascii="TimesNewRoman" w:hAnsi="TimesNewRoman" w:eastAsia="仿宋_GB2312" w:cs="TimesNewRoman"/>
          <w:kern w:val="0"/>
          <w:sz w:val="32"/>
          <w:szCs w:val="32"/>
          <w:lang w:eastAsia="zh-CN"/>
        </w:rPr>
        <w:t>退休人员的退休费、社保缴费</w:t>
      </w:r>
      <w:bookmarkEnd w:id="10"/>
      <w:r>
        <w:rPr>
          <w:rFonts w:hint="eastAsia" w:ascii="TimesNewRoman" w:hAnsi="TimesNewRoman" w:eastAsia="仿宋_GB2312" w:cs="TimesNewRoman"/>
          <w:kern w:val="0"/>
          <w:sz w:val="32"/>
          <w:szCs w:val="32"/>
          <w:lang w:eastAsia="zh-CN"/>
        </w:rPr>
        <w:t>和</w:t>
      </w:r>
      <w:bookmarkStart w:id="12" w:name="OLE_LINK14"/>
      <w:r>
        <w:rPr>
          <w:rFonts w:hint="eastAsia" w:ascii="TimesNewRoman" w:hAnsi="TimesNewRoman" w:eastAsia="仿宋_GB2312" w:cs="TimesNewRoman"/>
          <w:kern w:val="0"/>
          <w:sz w:val="32"/>
          <w:szCs w:val="32"/>
          <w:lang w:eastAsia="zh-CN"/>
        </w:rPr>
        <w:t>环卫工作经费调整</w:t>
      </w:r>
      <w:bookmarkEnd w:id="12"/>
      <w:r>
        <w:rPr>
          <w:rFonts w:hint="eastAsia" w:ascii="TimesNewRoman" w:hAnsi="TimesNewRoman" w:eastAsia="仿宋_GB2312" w:cs="TimesNewRoman"/>
          <w:kern w:val="0"/>
          <w:sz w:val="32"/>
          <w:szCs w:val="32"/>
        </w:rPr>
        <w:t>。</w:t>
      </w:r>
      <w:bookmarkEnd w:id="11"/>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1116.43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6.86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15168.18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93.14</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环境卫生管理、运行，保障支出等</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万元。收入按资金来源分为：一般公共预算拨款</w:t>
      </w:r>
      <w:bookmarkStart w:id="13" w:name="OLE_LINK11"/>
      <w:r>
        <w:rPr>
          <w:rFonts w:hint="eastAsia" w:ascii="TimesNewRoman" w:hAnsi="TimesNewRoman" w:eastAsia="仿宋_GB2312" w:cs="TimesNewRoman"/>
          <w:sz w:val="32"/>
          <w:szCs w:val="32"/>
          <w:lang w:val="en-US" w:eastAsia="zh-CN"/>
        </w:rPr>
        <w:t>16284.61</w:t>
      </w:r>
      <w:bookmarkEnd w:id="13"/>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按资金年度分为：本年财政拨款收入</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万元。支出按功能分类分为：社会保障和就业支出</w:t>
      </w:r>
      <w:bookmarkStart w:id="14" w:name="OLE_LINK15"/>
      <w:r>
        <w:rPr>
          <w:rFonts w:hint="eastAsia" w:ascii="TimesNewRoman" w:hAnsi="TimesNewRoman" w:eastAsia="仿宋_GB2312" w:cs="TimesNewRoman"/>
          <w:kern w:val="0"/>
          <w:sz w:val="32"/>
          <w:szCs w:val="32"/>
          <w:lang w:val="en-US" w:eastAsia="zh-CN"/>
        </w:rPr>
        <w:t>560.57</w:t>
      </w:r>
      <w:bookmarkEnd w:id="14"/>
      <w:r>
        <w:rPr>
          <w:rFonts w:hint="eastAsia" w:ascii="TimesNewRoman" w:hAnsi="TimesNewRoman" w:eastAsia="仿宋_GB2312" w:cs="TimesNewRoman"/>
          <w:kern w:val="0"/>
          <w:sz w:val="32"/>
          <w:szCs w:val="32"/>
        </w:rPr>
        <w:t>万元，占</w:t>
      </w:r>
      <w:bookmarkStart w:id="15" w:name="OLE_LINK16"/>
      <w:r>
        <w:rPr>
          <w:rFonts w:hint="eastAsia" w:ascii="TimesNewRoman" w:hAnsi="TimesNewRoman" w:eastAsia="仿宋_GB2312" w:cs="TimesNewRoman"/>
          <w:kern w:val="0"/>
          <w:sz w:val="32"/>
          <w:szCs w:val="32"/>
          <w:lang w:val="en-US" w:eastAsia="zh-CN"/>
        </w:rPr>
        <w:t>3.44</w:t>
      </w:r>
      <w:bookmarkEnd w:id="15"/>
      <w:r>
        <w:rPr>
          <w:rFonts w:hint="eastAsia" w:ascii="TimesNewRoman" w:hAnsi="TimesNewRoman" w:eastAsia="仿宋_GB2312" w:cs="TimesNewRoman"/>
          <w:kern w:val="0"/>
          <w:sz w:val="32"/>
          <w:szCs w:val="32"/>
        </w:rPr>
        <w:t>%；卫生健康支出</w:t>
      </w:r>
      <w:bookmarkStart w:id="16" w:name="OLE_LINK17"/>
      <w:r>
        <w:rPr>
          <w:rFonts w:hint="eastAsia" w:ascii="TimesNewRoman" w:hAnsi="TimesNewRoman" w:eastAsia="仿宋_GB2312" w:cs="TimesNewRoman"/>
          <w:kern w:val="0"/>
          <w:sz w:val="32"/>
          <w:szCs w:val="32"/>
          <w:lang w:val="en-US" w:eastAsia="zh-CN"/>
        </w:rPr>
        <w:t>54.21</w:t>
      </w:r>
      <w:bookmarkEnd w:id="16"/>
      <w:r>
        <w:rPr>
          <w:rFonts w:hint="eastAsia" w:ascii="TimesNewRoman" w:hAnsi="TimesNewRoman" w:eastAsia="仿宋_GB2312" w:cs="TimesNewRoman"/>
          <w:kern w:val="0"/>
          <w:sz w:val="32"/>
          <w:szCs w:val="32"/>
        </w:rPr>
        <w:t>万元，占</w:t>
      </w:r>
      <w:bookmarkStart w:id="17" w:name="OLE_LINK18"/>
      <w:r>
        <w:rPr>
          <w:rFonts w:hint="eastAsia" w:ascii="TimesNewRoman" w:hAnsi="TimesNewRoman" w:eastAsia="仿宋_GB2312" w:cs="TimesNewRoman"/>
          <w:kern w:val="0"/>
          <w:sz w:val="32"/>
          <w:szCs w:val="32"/>
          <w:lang w:val="en-US" w:eastAsia="zh-CN"/>
        </w:rPr>
        <w:t>0.33</w:t>
      </w:r>
      <w:bookmarkEnd w:id="17"/>
      <w:r>
        <w:rPr>
          <w:rFonts w:hint="eastAsia" w:ascii="TimesNewRoman" w:hAnsi="TimesNewRoman" w:eastAsia="仿宋_GB2312" w:cs="TimesNewRoman"/>
          <w:kern w:val="0"/>
          <w:sz w:val="32"/>
          <w:szCs w:val="32"/>
        </w:rPr>
        <w:t>%；</w:t>
      </w:r>
      <w:bookmarkStart w:id="18" w:name="OLE_LINK19"/>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15579.4万元，占95.67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bookmarkEnd w:id="18"/>
      <w:r>
        <w:rPr>
          <w:rFonts w:hint="eastAsia" w:ascii="TimesNewRoman" w:hAnsi="TimesNewRoman" w:eastAsia="仿宋_GB2312" w:cs="TimesNewRoman"/>
          <w:kern w:val="0"/>
          <w:sz w:val="32"/>
          <w:szCs w:val="32"/>
        </w:rPr>
        <w:t>住房保障支出</w:t>
      </w:r>
      <w:bookmarkStart w:id="19" w:name="OLE_LINK20"/>
      <w:r>
        <w:rPr>
          <w:rFonts w:hint="eastAsia" w:ascii="TimesNewRoman" w:hAnsi="TimesNewRoman" w:eastAsia="仿宋_GB2312" w:cs="TimesNewRoman"/>
          <w:kern w:val="0"/>
          <w:sz w:val="32"/>
          <w:szCs w:val="32"/>
          <w:lang w:val="en-US" w:eastAsia="zh-CN"/>
        </w:rPr>
        <w:t>90.44</w:t>
      </w:r>
      <w:bookmarkEnd w:id="19"/>
      <w:r>
        <w:rPr>
          <w:rFonts w:hint="eastAsia" w:ascii="TimesNewRoman" w:hAnsi="TimesNewRoman" w:eastAsia="仿宋_GB2312" w:cs="TimesNewRoman"/>
          <w:kern w:val="0"/>
          <w:sz w:val="32"/>
          <w:szCs w:val="32"/>
        </w:rPr>
        <w:t>万元，占</w:t>
      </w:r>
      <w:bookmarkStart w:id="20" w:name="OLE_LINK21"/>
      <w:bookmarkStart w:id="21" w:name="OLE_LINK10"/>
      <w:r>
        <w:rPr>
          <w:rFonts w:hint="eastAsia" w:ascii="TimesNewRoman" w:hAnsi="TimesNewRoman" w:eastAsia="仿宋_GB2312" w:cs="TimesNewRoman"/>
          <w:kern w:val="0"/>
          <w:sz w:val="32"/>
          <w:szCs w:val="32"/>
          <w:lang w:val="en-US" w:eastAsia="zh-CN"/>
        </w:rPr>
        <w:t>0.56</w:t>
      </w:r>
      <w:bookmarkEnd w:id="20"/>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bookmarkEnd w:id="21"/>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sz w:val="32"/>
          <w:szCs w:val="32"/>
          <w:lang w:val="en-US" w:eastAsia="zh-CN"/>
        </w:rPr>
        <w:t>16284.61</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退休人员的退休费、社保缴费</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环卫工作经费调整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社会保障和就业支出</w:t>
      </w:r>
      <w:bookmarkStart w:id="22" w:name="OLE_LINK22"/>
      <w:r>
        <w:rPr>
          <w:rFonts w:hint="eastAsia" w:ascii="TimesNewRoman" w:hAnsi="TimesNewRoman" w:eastAsia="仿宋_GB2312" w:cs="TimesNewRoman"/>
          <w:kern w:val="0"/>
          <w:sz w:val="32"/>
          <w:szCs w:val="32"/>
          <w:lang w:val="en-US" w:eastAsia="zh-CN"/>
        </w:rPr>
        <w:t>560.57</w:t>
      </w:r>
      <w:bookmarkEnd w:id="22"/>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54.21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0.33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15579.4万元，占95.67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90.44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0.56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jc w:val="left"/>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事业单位离退休</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473.55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8.34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1.73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退休人员减少。</w:t>
      </w:r>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56.82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1.99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3.38</w:t>
      </w:r>
      <w:r>
        <w:rPr>
          <w:rFonts w:hint="eastAsia" w:ascii="TimesNewRoman" w:hAnsi="TimesNewRoman" w:eastAsia="仿宋_GB2312" w:cs="TimesNewRoman"/>
          <w:kern w:val="0"/>
          <w:sz w:val="32"/>
          <w:szCs w:val="32"/>
        </w:rPr>
        <w:t>%，</w:t>
      </w:r>
      <w:bookmarkStart w:id="23" w:name="OLE_LINK24"/>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在职人员减少。</w:t>
      </w:r>
    </w:p>
    <w:bookmarkEnd w:id="23"/>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28.41</w:t>
      </w:r>
      <w:r>
        <w:rPr>
          <w:rFonts w:hint="eastAsia" w:ascii="TimesNewRoman" w:hAnsi="TimesNewRoman" w:eastAsia="仿宋_GB2312" w:cs="TimesNewRoman"/>
          <w:kern w:val="0"/>
          <w:sz w:val="32"/>
          <w:szCs w:val="32"/>
        </w:rPr>
        <w:t>万元，比20</w:t>
      </w: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w:t>
      </w:r>
      <w:bookmarkStart w:id="24" w:name="OLE_LINK25"/>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在职人员减少。</w:t>
      </w:r>
    </w:p>
    <w:bookmarkEnd w:id="24"/>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4、社会保障和就业支出（类）其他社会保障和就业支出（款）其他社会保障和就业支出（项）2025年预算1.79万元，比2024年预算减少0.06万元，减少3.24%，</w:t>
      </w:r>
      <w:bookmarkStart w:id="25" w:name="OLE_LINK26"/>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在职人员减少。</w:t>
      </w:r>
    </w:p>
    <w:bookmarkEnd w:id="25"/>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5、卫生健康支出（类）行政事业单位医疗（款）事业单位医疗（项）2025年预算18.41万元，比2024年预算减少3.77万元，减少17%，</w:t>
      </w:r>
      <w:bookmarkStart w:id="26" w:name="OLE_LINK27"/>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在职人员减少。</w:t>
      </w:r>
      <w:bookmarkEnd w:id="26"/>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6.卫生健康支出（类）行政事业单位医疗（款）公务员医疗补助（项）2025年预算35.8万元，比2024年预算减少0.13万元，减少0.36%，</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在职人员减少。</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7、城乡社区支出（类）城乡社区环境卫生（款）城乡社区环境卫生（项）2025年预算15579.4万元，比2024年预算减少48.88万元，减少0.31%，减少原因主要是①在职人员减少，相关预算费用减少。②</w:t>
      </w:r>
      <w:bookmarkStart w:id="27" w:name="OLE_LINK29"/>
      <w:r>
        <w:rPr>
          <w:rFonts w:hint="eastAsia" w:ascii="TimesNewRoman" w:hAnsi="TimesNewRoman" w:eastAsia="仿宋_GB2312" w:cs="TimesNewRoman"/>
          <w:kern w:val="0"/>
          <w:sz w:val="32"/>
          <w:szCs w:val="32"/>
          <w:lang w:val="en-US" w:eastAsia="zh-CN"/>
        </w:rPr>
        <w:t>根据2025年工作任务，调整环卫工作经费。</w:t>
      </w:r>
    </w:p>
    <w:bookmarkEnd w:id="27"/>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8、住房保障支出（类）住房改革支出（款）住房公积金（项）2025年预算54.26万元，比2024年预算增加0.1万元，增长0.18%，增长原因主要是职工住房公积金基数调整。</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9、住房保障支出（类）住房改革支出（款）提租补贴（项）2025年预算13.57万元，比2024年预算增加13.57万元，增长100%，增长原因主要是职工住房公积金基数调整。</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bookmarkStart w:id="28" w:name="OLE_LINK28"/>
      <w:r>
        <w:rPr>
          <w:rFonts w:hint="eastAsia" w:ascii="TimesNewRoman" w:hAnsi="TimesNewRoman" w:eastAsia="仿宋_GB2312" w:cs="TimesNewRoman"/>
          <w:kern w:val="0"/>
          <w:sz w:val="32"/>
          <w:szCs w:val="32"/>
          <w:lang w:val="en-US" w:eastAsia="zh-CN"/>
        </w:rPr>
        <w:t>10、住房保障支出（类）住房改革支出（款）购房补贴（项）2025年预算22.61万元，比2024年预算增加0.04万元，增长0.18%，增长原因主要是职工住房公积金基数调整。</w:t>
      </w:r>
    </w:p>
    <w:bookmarkEnd w:id="28"/>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1116.43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1072.03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1072.03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w:t>
      </w:r>
      <w:r>
        <w:rPr>
          <w:rFonts w:hint="eastAsia" w:ascii="TimesNewRoman" w:hAnsi="TimesNewRoman" w:eastAsia="仿宋_GB2312" w:cs="TimesNewRoman"/>
          <w:kern w:val="0"/>
          <w:sz w:val="32"/>
          <w:szCs w:val="32"/>
          <w:lang w:eastAsia="zh-CN"/>
        </w:rPr>
        <w:t>缴</w:t>
      </w:r>
      <w:r>
        <w:rPr>
          <w:rFonts w:hint="eastAsia" w:ascii="TimesNewRoman" w:hAnsi="TimesNewRoman" w:eastAsia="仿宋_GB2312" w:cs="TimesNewRoman"/>
          <w:kern w:val="0"/>
          <w:sz w:val="32"/>
          <w:szCs w:val="32"/>
        </w:rPr>
        <w:t>费、职业年金缴费、职工基本医疗保险缴费、公务员医疗补助缴费、其他社会保障缴费、工会经费、福利费、住房公积金、退休费、生活补助、</w:t>
      </w:r>
      <w:r>
        <w:rPr>
          <w:rFonts w:hint="eastAsia" w:ascii="TimesNewRoman" w:hAnsi="TimesNewRoman" w:eastAsia="仿宋_GB2312" w:cs="TimesNewRoman"/>
          <w:kern w:val="0"/>
          <w:sz w:val="32"/>
          <w:szCs w:val="32"/>
          <w:lang w:eastAsia="zh-CN"/>
        </w:rPr>
        <w:t>医疗费补助、</w:t>
      </w:r>
      <w:r>
        <w:rPr>
          <w:rFonts w:hint="eastAsia" w:ascii="TimesNewRoman" w:hAnsi="TimesNewRoman" w:eastAsia="仿宋_GB2312" w:cs="TimesNewRoman"/>
          <w:kern w:val="0"/>
          <w:sz w:val="32"/>
          <w:szCs w:val="32"/>
        </w:rPr>
        <w:t>其他个人和家庭的补助。</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主要包括：办公费、电费、维修（护）费、其他商品服务支出</w:t>
      </w:r>
      <w:r>
        <w:rPr>
          <w:rFonts w:hint="eastAsia" w:ascii="TimesNewRoman" w:hAnsi="TimesNewRoman" w:eastAsia="仿宋_GB2312" w:cs="TimesNewRoman"/>
          <w:kern w:val="0"/>
          <w:sz w:val="32"/>
          <w:szCs w:val="32"/>
          <w:lang w:eastAsia="zh-CN"/>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15168.18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21.42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根据2025年工作任务，调整环卫工作经费。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15168.18</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15168.18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2025年没有安排政府购买服务支出。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rPr>
        <w:t>（一）项目及绩效目标情况。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1、“餐厨垃圾处理专项补贴”项目。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（1）项目概述。根据市政府2013年第5次常务会议精神，我市与北京桑德环境资源股份公司合作建设淮北市餐厨垃圾集中收集处理项目，市城市管理局负责日常监管。</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（2）立项依据。市卫计委与北京桑德环境签订的《特许经营协议》经营期30年，每吨补贴</w:t>
            </w:r>
            <w:r>
              <w:rPr>
                <w:rFonts w:hint="eastAsia" w:ascii="TimesNewRoman" w:hAnsi="TimesNewRoman" w:eastAsia="仿宋_GB2312" w:cs="TimesNewRoman"/>
                <w:kern w:val="0"/>
                <w:sz w:val="32"/>
                <w:szCs w:val="32"/>
                <w:lang w:val="en-US" w:eastAsia="zh-CN"/>
              </w:rPr>
              <w:t>280</w:t>
            </w:r>
            <w:r>
              <w:rPr>
                <w:rFonts w:hint="eastAsia" w:ascii="TimesNewRoman" w:hAnsi="TimesNewRoman" w:eastAsia="仿宋_GB2312" w:cs="TimesNewRoman"/>
                <w:kern w:val="0"/>
                <w:sz w:val="32"/>
                <w:szCs w:val="32"/>
              </w:rPr>
              <w:t>元。每日保底量为50吨。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（3）实施主体。淮北市环境卫生管理处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（5）项目内容。餐厨垃圾处理补贴费。</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2025年预算安排资金1000万元。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（7）绩效目标。做好我市餐厨垃圾的处理工作，改善城市环境面貌，提高群众满意度，从源头杜绝“垃圾猪”“地沟油”回流餐桌，进一步保障饮食安全，实现资源化利用。</w:t>
            </w: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餐厨垃圾处理专项补贴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[269]淮北市城市管理局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both"/>
              <w:rPr>
                <w:rFonts w:hint="eastAsia" w:eastAsiaTheme="minorEastAsia"/>
                <w:lang w:eastAsia="zh-CN"/>
              </w:rPr>
            </w:pPr>
            <w:r>
              <w:rPr>
                <w:rFonts w:hint="eastAsia"/>
                <w:lang w:eastAsia="zh-CN"/>
              </w:rPr>
              <w:t>淮北市环境卫生管理处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bookmarkStart w:id="29" w:name="OLE_LINK34"/>
            <w:r>
              <w:rPr>
                <w:rFonts w:hint="eastAsia" w:ascii="宋体" w:cs="宋体"/>
                <w:sz w:val="20"/>
              </w:rPr>
              <w:t>做好我市餐厨垃圾的处理工作，改善城市环境面貌，提高群众满意度，从源头杜绝“垃圾猪”“地沟油”回流餐桌，进一步保障饮食安全，实现资源化利用。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日进场量</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处理率</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餐厨垃圾处理时效</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应收尽收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餐厨垃圾处理补贴</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生产粗油脂</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提供就业岗位</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生产清洁能源（沼气）</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100万方/年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对未来饮食行业的可持续影响</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从源头杜绝“垃圾猪”，“地沟油”，保障饮食安全，提升生活质量。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群众对餐厨垃圾处理满意</w:t>
            </w:r>
          </w:p>
        </w:tc>
        <w:tc>
          <w:tcPr>
            <w:tcW w:w="422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2、“垃圾处理专项补贴”项目。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2018年旺能集团在我市投资10亿元，新建一座新型垃圾焚烧电厂—淮北市生活垃圾焚烧发电二期项目，项目采用BOT模式投资、建设与运营，运营期限28年，占地面积180.51亩，建设总规模为日处理生活垃圾2250吨。项目分期实施，一期规模为日处理生活垃圾1500吨，投资7.65亿元人民币，建设2台750t/d焚烧炉+2×15MW抽凝式汽轮发电机组，同时配套建设烟气净化系统、废水处理系统、灰渣处理系统等环保工程，预留一台750t/d焚烧线以及国内烟气处理领先工艺SCR+湿法脱酸场地。一期建成后年处理生活垃圾能力约54万吨，年发电量约2.4亿度。2019年10月该项目一期开始运营，二期根据淮北市垃圾增幅情况适时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（2）立项依据。淮北市人民政府常务会议纪要（第7号）和《淮北市城市生活垃圾处理特许经营协议》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（3）实施主体。淮北市环境卫生管理处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 w:eastAsia="仿宋_GB2312" w:cs="仿宋_GB2312"/>
          <w:sz w:val="32"/>
          <w:szCs w:val="32"/>
        </w:rPr>
        <w:t>生活垃圾焚烧发电处理补贴费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2025年度预算安排资金3000万元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（7）绩效目标。实现垃圾零填埋，焚烧垃圾发电，使城市生活处理达到无害化、减量化、资源化。完全实现城市生活垃圾无害化处理达到100%。</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51" w:firstLineChars="196"/>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项目支出绩效目标表</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392" w:firstLineChars="196"/>
        <w:jc w:val="center"/>
        <w:textAlignment w:val="auto"/>
        <w:rPr>
          <w:rFonts w:hint="eastAsia" w:ascii="宋体" w:hAnsi="宋体" w:eastAsia="宋体" w:cs="宋体"/>
          <w:b/>
          <w:color w:val="000000"/>
          <w:kern w:val="0"/>
          <w:sz w:val="28"/>
          <w:szCs w:val="28"/>
        </w:rPr>
      </w:pPr>
      <w:r>
        <w:rPr>
          <w:rFonts w:hint="eastAsia" w:ascii="宋体" w:hAnsi="宋体" w:eastAsia="宋体" w:cs="宋体"/>
          <w:color w:val="000000"/>
          <w:kern w:val="0"/>
          <w:sz w:val="20"/>
          <w:szCs w:val="20"/>
        </w:rPr>
        <w:t>（202</w:t>
      </w:r>
      <w:r>
        <w:rPr>
          <w:rFonts w:hint="eastAsia" w:cs="宋体"/>
          <w:color w:val="000000"/>
          <w:kern w:val="0"/>
          <w:sz w:val="20"/>
          <w:szCs w:val="20"/>
          <w:lang w:val="en-US" w:eastAsia="zh-CN"/>
        </w:rPr>
        <w:t>5</w:t>
      </w:r>
      <w:r>
        <w:rPr>
          <w:rFonts w:hint="eastAsia" w:ascii="宋体" w:hAnsi="宋体" w:eastAsia="宋体" w:cs="宋体"/>
          <w:color w:val="000000"/>
          <w:kern w:val="0"/>
          <w:sz w:val="20"/>
          <w:szCs w:val="20"/>
        </w:rPr>
        <w:t>年度）</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779"/>
        <w:gridCol w:w="306"/>
        <w:gridCol w:w="512"/>
        <w:gridCol w:w="3103"/>
        <w:gridCol w:w="1995"/>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99"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4200" w:type="pct"/>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垃圾处理专项补贴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9"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及代码</w:t>
            </w:r>
          </w:p>
        </w:tc>
        <w:tc>
          <w:tcPr>
            <w:tcW w:w="1856"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r>
              <w:rPr>
                <w:rFonts w:hint="eastAsia" w:ascii="宋体" w:cs="宋体"/>
                <w:sz w:val="20"/>
              </w:rPr>
              <w:t>[269]淮北市城市管理局</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实施单位</w:t>
            </w:r>
          </w:p>
        </w:tc>
        <w:tc>
          <w:tcPr>
            <w:tcW w:w="13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eastAsiaTheme="minorEastAsia"/>
                <w:lang w:eastAsia="zh-CN"/>
              </w:rPr>
            </w:pPr>
            <w:r>
              <w:rPr>
                <w:rFonts w:hint="eastAsia"/>
                <w:lang w:eastAsia="zh-CN"/>
              </w:rPr>
              <w:t>淮北市环境卫生管理处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9"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1856"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本级项目</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项目期</w:t>
            </w:r>
          </w:p>
        </w:tc>
        <w:tc>
          <w:tcPr>
            <w:tcW w:w="131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9" w:type="pct"/>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856"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234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9"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6"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234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9"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6"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234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9"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6"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234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4757" w:type="pct"/>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cs="宋体"/>
                <w:sz w:val="20"/>
              </w:rPr>
            </w:pPr>
            <w:bookmarkStart w:id="30" w:name="OLE_LINK33"/>
            <w:r>
              <w:rPr>
                <w:rFonts w:hint="eastAsia" w:ascii="宋体" w:cs="宋体"/>
                <w:sz w:val="20"/>
              </w:rPr>
              <w:t>1.生活垃圾末端处理厂正常运行365天，进厂垃生活圾不分流。</w:t>
            </w:r>
          </w:p>
          <w:p>
            <w:pPr>
              <w:keepNext w:val="0"/>
              <w:keepLines w:val="0"/>
              <w:pageBreakBefore w:val="0"/>
              <w:kinsoku/>
              <w:wordWrap/>
              <w:overflowPunct/>
              <w:topLinePunct w:val="0"/>
              <w:autoSpaceDE/>
              <w:autoSpaceDN/>
              <w:bidi w:val="0"/>
              <w:adjustRightInd/>
              <w:snapToGrid/>
              <w:spacing w:line="240" w:lineRule="auto"/>
              <w:jc w:val="left"/>
              <w:rPr>
                <w:rFonts w:hint="eastAsia" w:ascii="宋体" w:cs="宋体"/>
                <w:sz w:val="20"/>
              </w:rPr>
            </w:pPr>
            <w:r>
              <w:rPr>
                <w:rFonts w:hint="eastAsia" w:ascii="宋体" w:cs="宋体"/>
                <w:sz w:val="20"/>
              </w:rPr>
              <w:t>2生活垃圾无害化处理，生活垃圾日产日清。</w:t>
            </w:r>
          </w:p>
          <w:p>
            <w:pPr>
              <w:keepNext w:val="0"/>
              <w:keepLines w:val="0"/>
              <w:pageBreakBefore w:val="0"/>
              <w:kinsoku/>
              <w:wordWrap/>
              <w:overflowPunct/>
              <w:topLinePunct w:val="0"/>
              <w:autoSpaceDE/>
              <w:autoSpaceDN/>
              <w:bidi w:val="0"/>
              <w:adjustRightInd/>
              <w:snapToGrid/>
              <w:spacing w:line="240" w:lineRule="auto"/>
              <w:jc w:val="left"/>
              <w:rPr>
                <w:rFonts w:ascii="宋体" w:cs="宋体"/>
                <w:sz w:val="20"/>
              </w:rPr>
            </w:pPr>
            <w:r>
              <w:rPr>
                <w:rFonts w:hint="eastAsia" w:ascii="宋体" w:cs="宋体"/>
                <w:sz w:val="20"/>
              </w:rPr>
              <w:t>3.污染物排放均符合国家标准。</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40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159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2343"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年处理量</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52.2万吨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垃圾无害化处置率</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及时处理</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60元/吨</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垃圾焚烧发电</w:t>
            </w:r>
          </w:p>
        </w:tc>
        <w:tc>
          <w:tcPr>
            <w:tcW w:w="4568" w:type="dxa"/>
            <w:gridSpan w:val="2"/>
            <w:tcBorders>
              <w:tl2br w:val="nil"/>
              <w:tr2bl w:val="nil"/>
            </w:tcBorders>
            <w:vAlign w:val="center"/>
          </w:tcPr>
          <w:p>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431kwh/吨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解决生活垃圾污染环境问题</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10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污染物经处理排放达标率</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可持续影响指标</w:t>
            </w:r>
          </w:p>
        </w:tc>
        <w:tc>
          <w:tcPr>
            <w:tcW w:w="3103" w:type="dxa"/>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实现城市生活垃圾资源无害化减量化</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0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42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3103" w:type="dxa"/>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群众满意度</w:t>
            </w:r>
          </w:p>
        </w:tc>
        <w:tc>
          <w:tcPr>
            <w:tcW w:w="456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环卫保洁市场化作业费用</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sz w:val="32"/>
          <w:szCs w:val="32"/>
        </w:rPr>
        <w:t>本项目采用“BOT（建设-运营-移交）+委托运营”模式运作，即新建资源化中心项目采用BOT（建设-运营-移交）模式，城区道路清扫保洁、交通护栏清洗维护、现有垃圾中转站管理及垃圾收集清运、公厕管理等采用委托运营模式。项目合作期限为8年，其中含新建资源化中心项目建设期2年，运营期6年。</w:t>
      </w:r>
    </w:p>
    <w:p>
      <w:pPr>
        <w:ind w:firstLine="640" w:firstLineChars="200"/>
        <w:rPr>
          <w:rFonts w:hint="eastAsia" w:ascii="仿宋_GB2312" w:hAnsi="仿宋_GB2312" w:eastAsia="仿宋_GB2312" w:cs="仿宋_GB2312"/>
          <w:sz w:val="32"/>
          <w:szCs w:val="32"/>
          <w:lang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sz w:val="32"/>
          <w:szCs w:val="32"/>
        </w:rPr>
        <w:t>依据淮政办[2014]6号、中华人民共和国建设部令第126号、《基础设施和公用事业特许经营管理办法》、淮北市人民政府专题会议纪要第20号</w:t>
      </w:r>
      <w:r>
        <w:rPr>
          <w:rFonts w:hint="eastAsia" w:ascii="仿宋_GB2312" w:hAnsi="仿宋_GB2312" w:eastAsia="仿宋_GB2312" w:cs="仿宋_GB2312"/>
          <w:sz w:val="32"/>
          <w:szCs w:val="32"/>
          <w:lang w:eastAsia="zh-CN"/>
        </w:rPr>
        <w:t>。</w:t>
      </w:r>
    </w:p>
    <w:p>
      <w:pPr>
        <w:ind w:firstLine="640" w:firstLineChars="200"/>
        <w:rPr>
          <w:rFonts w:hint="eastAsia" w:eastAsia="仿宋_GB231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淮北市环境卫生管理处</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（5）项目内容。采用特许经营模式</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提升淮北市城区环境卫生水平、改善城区人居环境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建立完整的清扫、保洁、清洗、收运和处置的环卫管理全产业链</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满足市民对整洁有序的城市生活环境的需求。</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2025年度安排资金11082.51万元。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按照项目招标文件规定的作业标准组织实施环卫作业，实现环卫保洁质量大幅提升，满足市民群众对干净整洁市容环境的需要，持续保持我市全国文明城市良好形象，满足建设创新淮北、实力淮北、美丽淮北、幸福淮北、效能淮北的工作需要</w:t>
      </w:r>
      <w:r>
        <w:rPr>
          <w:rFonts w:hint="eastAsia" w:ascii="TimesNewRoman" w:hAnsi="TimesNewRoman" w:eastAsia="仿宋_GB2312" w:cs="TimesNewRoman"/>
          <w:kern w:val="0"/>
          <w:sz w:val="32"/>
          <w:szCs w:val="32"/>
          <w:lang w:eastAsia="zh-CN"/>
        </w:rPr>
        <w:t>。</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color w:val="000000"/>
          <w:kern w:val="0"/>
          <w:sz w:val="28"/>
          <w:szCs w:val="28"/>
        </w:rPr>
      </w:pPr>
      <w:bookmarkStart w:id="31" w:name="OLE_LINK30"/>
      <w:r>
        <w:rPr>
          <w:rFonts w:hint="eastAsia" w:ascii="宋体" w:hAnsi="宋体" w:eastAsia="宋体" w:cs="宋体"/>
          <w:b/>
          <w:color w:val="000000"/>
          <w:kern w:val="0"/>
          <w:sz w:val="28"/>
          <w:szCs w:val="28"/>
        </w:rPr>
        <w:t>项目支出绩效目标表</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color w:val="000000"/>
          <w:kern w:val="0"/>
          <w:sz w:val="28"/>
          <w:szCs w:val="28"/>
        </w:rPr>
      </w:pPr>
      <w:bookmarkStart w:id="32" w:name="OLE_LINK31"/>
      <w:r>
        <w:rPr>
          <w:rFonts w:hint="eastAsia" w:ascii="宋体" w:hAnsi="宋体" w:eastAsia="宋体" w:cs="宋体"/>
          <w:color w:val="000000"/>
          <w:kern w:val="0"/>
          <w:sz w:val="20"/>
          <w:szCs w:val="20"/>
        </w:rPr>
        <w:t>（202</w:t>
      </w:r>
      <w:r>
        <w:rPr>
          <w:rFonts w:hint="eastAsia" w:cs="宋体"/>
          <w:color w:val="000000"/>
          <w:kern w:val="0"/>
          <w:sz w:val="20"/>
          <w:szCs w:val="20"/>
          <w:lang w:val="en-US" w:eastAsia="zh-CN"/>
        </w:rPr>
        <w:t>5</w:t>
      </w:r>
      <w:r>
        <w:rPr>
          <w:rFonts w:hint="eastAsia" w:ascii="宋体" w:hAnsi="宋体" w:eastAsia="宋体" w:cs="宋体"/>
          <w:color w:val="000000"/>
          <w:kern w:val="0"/>
          <w:sz w:val="20"/>
          <w:szCs w:val="20"/>
        </w:rPr>
        <w:t>年度）</w:t>
      </w:r>
    </w:p>
    <w:tbl>
      <w:tblPr>
        <w:tblStyle w:val="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774"/>
        <w:gridCol w:w="313"/>
        <w:gridCol w:w="883"/>
        <w:gridCol w:w="2726"/>
        <w:gridCol w:w="1993"/>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95"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4204" w:type="pct"/>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eastAsiaTheme="minorEastAsia"/>
                <w:sz w:val="20"/>
                <w:lang w:eastAsia="zh-CN"/>
              </w:rPr>
              <w:t>环卫保洁市场化作业费用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及代码</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r>
              <w:rPr>
                <w:rFonts w:hint="eastAsia" w:ascii="宋体" w:cs="宋体"/>
                <w:sz w:val="20"/>
              </w:rPr>
              <w:t>[269]淮北市城市管理局</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实施单位</w:t>
            </w:r>
          </w:p>
        </w:tc>
        <w:tc>
          <w:tcPr>
            <w:tcW w:w="132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eastAsiaTheme="minorEastAsia"/>
                <w:lang w:eastAsia="zh-CN"/>
              </w:rPr>
            </w:pPr>
            <w:r>
              <w:rPr>
                <w:rFonts w:hint="eastAsia"/>
                <w:lang w:eastAsia="zh-CN"/>
              </w:rPr>
              <w:t>淮北市环境卫生管理处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95"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本级项目</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项目期</w:t>
            </w:r>
          </w:p>
        </w:tc>
        <w:tc>
          <w:tcPr>
            <w:tcW w:w="132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pct"/>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2348"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11082.51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2348"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11082.51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2348"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5"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2348"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4763" w:type="pct"/>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cs="宋体"/>
                <w:sz w:val="20"/>
              </w:rPr>
            </w:pPr>
            <w:bookmarkStart w:id="33" w:name="OLE_LINK32"/>
            <w:r>
              <w:rPr>
                <w:rFonts w:hint="eastAsia" w:ascii="宋体" w:cs="宋体"/>
                <w:sz w:val="20"/>
              </w:rPr>
              <w:t>按照项目招标文件规定的作业标准组织实施环卫作业，实现环卫保洁质量大幅提升，满足市民群众对干净整洁市容环境的需要，持续保持我市全国文明城市良好形象，满足建设创新淮北、实力淮北、美丽淮北、幸福淮北、效能淮北的工作需要</w:t>
            </w:r>
            <w:bookmarkEnd w:id="33"/>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3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140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2348"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615"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垃圾中转站</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34座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36" w:type="pct"/>
            <w:vMerge w:val="continue"/>
            <w:tcBorders>
              <w:tl2br w:val="nil"/>
              <w:tr2bl w:val="nil"/>
            </w:tcBorders>
            <w:vAlign w:val="center"/>
          </w:tcPr>
          <w:p>
            <w:pPr>
              <w:keepNext w:val="0"/>
              <w:keepLines w:val="0"/>
              <w:widowControl/>
              <w:suppressLineNumbers w:val="0"/>
              <w:jc w:val="center"/>
              <w:textAlignment w:val="center"/>
            </w:pPr>
          </w:p>
        </w:tc>
        <w:tc>
          <w:tcPr>
            <w:tcW w:w="398" w:type="pct"/>
            <w:vMerge w:val="continue"/>
            <w:tcBorders>
              <w:tl2br w:val="nil"/>
              <w:tr2bl w:val="nil"/>
            </w:tcBorders>
            <w:vAlign w:val="center"/>
          </w:tcPr>
          <w:p>
            <w:pPr>
              <w:keepNext w:val="0"/>
              <w:keepLines w:val="0"/>
              <w:widowControl/>
              <w:suppressLineNumbers w:val="0"/>
              <w:jc w:val="center"/>
              <w:textAlignment w:val="cente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公厕</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36"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398"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交通护栏</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172278米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36"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398"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绿化带</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2732646平方米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36"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398"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道路保洁</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12525698.07平方米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达到淮北市环卫一体化运营质量标准要求</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按季度拨付，根据各区承担比例核定，扣除上季度考核扣款市级财政实际享有部分，拨付至各区财政。</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严格控制在成本指标值内</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完整产业链、资源化利用</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建立并促进综合利用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保障市民生活环境整洁干净</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6" w:type="pct"/>
            <w:vMerge w:val="continue"/>
            <w:tcBorders>
              <w:tl2br w:val="nil"/>
              <w:tr2bl w:val="nil"/>
            </w:tcBorders>
            <w:vAlign w:val="center"/>
          </w:tcPr>
          <w:p>
            <w:pPr>
              <w:keepNext w:val="0"/>
              <w:keepLines w:val="0"/>
              <w:widowControl/>
              <w:suppressLineNumbers w:val="0"/>
              <w:jc w:val="center"/>
              <w:textAlignment w:val="center"/>
            </w:pPr>
          </w:p>
        </w:tc>
        <w:tc>
          <w:tcPr>
            <w:tcW w:w="398" w:type="pct"/>
            <w:vMerge w:val="continue"/>
            <w:tcBorders>
              <w:tl2br w:val="nil"/>
              <w:tr2bl w:val="nil"/>
            </w:tcBorders>
            <w:vAlign w:val="center"/>
          </w:tcPr>
          <w:p>
            <w:pPr>
              <w:keepNext w:val="0"/>
              <w:keepLines w:val="0"/>
              <w:widowControl/>
              <w:suppressLineNumbers w:val="0"/>
              <w:jc w:val="center"/>
              <w:textAlignment w:val="cente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项目实施促进环卫管理机制更为完善</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6"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398"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满足市民群众对干净整洁市容环境的需要</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1401" w:type="pct"/>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满足建设创新淮北、实力淮北、美丽淮北、幸福淮北、效能淮北的工作需要</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61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可持续影响指标</w:t>
            </w:r>
          </w:p>
        </w:tc>
        <w:tc>
          <w:tcPr>
            <w:tcW w:w="1401" w:type="pct"/>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保障市民生活环境整洁干净</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615"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1401" w:type="pct"/>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项目实施促进环卫管理机制更为完善</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6" w:type="pct"/>
            <w:vMerge w:val="continue"/>
            <w:tcBorders>
              <w:tl2br w:val="nil"/>
              <w:tr2bl w:val="nil"/>
            </w:tcBorders>
            <w:vAlign w:val="center"/>
          </w:tcPr>
          <w:p>
            <w:pPr>
              <w:keepNext w:val="0"/>
              <w:keepLines w:val="0"/>
              <w:widowControl/>
              <w:suppressLineNumbers w:val="0"/>
              <w:jc w:val="center"/>
              <w:textAlignment w:val="center"/>
            </w:pPr>
          </w:p>
        </w:tc>
        <w:tc>
          <w:tcPr>
            <w:tcW w:w="398" w:type="pct"/>
            <w:vMerge w:val="continue"/>
            <w:tcBorders>
              <w:tl2br w:val="nil"/>
              <w:tr2bl w:val="nil"/>
            </w:tcBorders>
            <w:vAlign w:val="center"/>
          </w:tcPr>
          <w:p>
            <w:pPr>
              <w:keepNext w:val="0"/>
              <w:keepLines w:val="0"/>
              <w:widowControl/>
              <w:suppressLineNumbers w:val="0"/>
              <w:jc w:val="center"/>
              <w:textAlignment w:val="center"/>
            </w:pPr>
          </w:p>
        </w:tc>
        <w:tc>
          <w:tcPr>
            <w:tcW w:w="615" w:type="pct"/>
            <w:gridSpan w:val="2"/>
            <w:vMerge w:val="continue"/>
            <w:tcBorders>
              <w:tl2br w:val="nil"/>
              <w:tr2bl w:val="nil"/>
            </w:tcBorders>
            <w:vAlign w:val="center"/>
          </w:tcPr>
          <w:p>
            <w:pPr>
              <w:keepNext w:val="0"/>
              <w:keepLines w:val="0"/>
              <w:widowControl/>
              <w:suppressLineNumbers w:val="0"/>
              <w:jc w:val="center"/>
              <w:textAlignment w:val="center"/>
            </w:pPr>
          </w:p>
        </w:tc>
        <w:tc>
          <w:tcPr>
            <w:tcW w:w="1401" w:type="pct"/>
            <w:tcBorders>
              <w:tl2br w:val="nil"/>
              <w:tr2bl w:val="nil"/>
            </w:tcBorders>
            <w:vAlign w:val="center"/>
          </w:tcPr>
          <w:p>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满足市民群众对干净整洁市容环境的需要</w:t>
            </w:r>
          </w:p>
        </w:tc>
        <w:tc>
          <w:tcPr>
            <w:tcW w:w="2348" w:type="pct"/>
            <w:gridSpan w:val="2"/>
            <w:tcBorders>
              <w:tl2br w:val="nil"/>
              <w:tr2bl w:val="nil"/>
            </w:tcBorders>
            <w:vAlign w:val="center"/>
          </w:tcPr>
          <w:p>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100%</w:t>
            </w:r>
          </w:p>
        </w:tc>
      </w:tr>
      <w:bookmarkEnd w:id="31"/>
      <w:bookmarkEnd w:id="32"/>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生活垃圾分类工作经费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该项目主要用于加快推进居民小区“撤桶并点”及宣传引导工作，推动全市生活垃圾分类工作全面开展。</w:t>
      </w:r>
    </w:p>
    <w:p>
      <w:pPr>
        <w:pageBreakBefore w:val="0"/>
        <w:widowControl w:val="0"/>
        <w:kinsoku/>
        <w:wordWrap/>
        <w:topLinePunct w:val="0"/>
        <w:autoSpaceDE w:val="0"/>
        <w:autoSpaceDN w:val="0"/>
        <w:bidi w:val="0"/>
        <w:adjustRightInd w:val="0"/>
        <w:snapToGrid/>
        <w:spacing w:line="560" w:lineRule="exact"/>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p>
    <w:p>
      <w:pPr>
        <w:pageBreakBefore w:val="0"/>
        <w:widowControl w:val="0"/>
        <w:kinsoku/>
        <w:wordWrap/>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《关于印发</w:t>
      </w:r>
      <w:r>
        <w:rPr>
          <w:rFonts w:hint="eastAsia" w:ascii="仿宋_GB2312" w:hAnsi="仿宋_GB2312" w:eastAsia="仿宋_GB2312" w:cs="仿宋_GB2312"/>
          <w:color w:val="000000"/>
          <w:kern w:val="0"/>
          <w:sz w:val="32"/>
          <w:szCs w:val="32"/>
          <w:lang w:val="en-US" w:eastAsia="zh-CN"/>
        </w:rPr>
        <w:t>2024年度全省生活垃圾分类工作计划的通知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（皖垃分办〔202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〕1号）；</w:t>
      </w:r>
      <w:r>
        <w:rPr>
          <w:rFonts w:hint="eastAsia" w:ascii="仿宋_GB2312" w:hAnsi="仿宋_GB2312" w:eastAsia="仿宋_GB2312" w:cs="仿宋_GB2312"/>
          <w:color w:val="000000"/>
          <w:kern w:val="0"/>
          <w:sz w:val="32"/>
          <w:szCs w:val="32"/>
          <w:u w:val="none"/>
        </w:rPr>
        <w:t>《关于</w:t>
      </w:r>
      <w:r>
        <w:rPr>
          <w:rFonts w:hint="eastAsia" w:ascii="仿宋_GB2312" w:hAnsi="仿宋_GB2312" w:eastAsia="仿宋_GB2312" w:cs="仿宋_GB2312"/>
          <w:color w:val="000000"/>
          <w:kern w:val="0"/>
          <w:sz w:val="32"/>
          <w:szCs w:val="32"/>
          <w:u w:val="none"/>
          <w:lang w:eastAsia="zh-CN"/>
        </w:rPr>
        <w:t>印发</w:t>
      </w:r>
      <w:r>
        <w:rPr>
          <w:rFonts w:hint="eastAsia" w:ascii="仿宋_GB2312" w:hAnsi="仿宋_GB2312" w:eastAsia="仿宋_GB2312" w:cs="仿宋_GB2312"/>
          <w:color w:val="000000"/>
          <w:kern w:val="0"/>
          <w:sz w:val="32"/>
          <w:szCs w:val="32"/>
          <w:u w:val="none"/>
          <w:lang w:val="en-US" w:eastAsia="zh-CN"/>
        </w:rPr>
        <w:t>2024年度全市生活垃圾分类工作要点的通知</w:t>
      </w:r>
      <w:r>
        <w:rPr>
          <w:rFonts w:hint="eastAsia" w:ascii="仿宋_GB2312" w:hAnsi="仿宋_GB2312" w:eastAsia="仿宋_GB2312" w:cs="仿宋_GB2312"/>
          <w:color w:val="000000"/>
          <w:kern w:val="0"/>
          <w:sz w:val="32"/>
          <w:szCs w:val="32"/>
        </w:rPr>
        <w:t>》（淮垃分办〔202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〕2号）。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淮北市环境卫生管理处</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该项目主要用于垃圾分类工作中的宣传及生活垃圾分类填报软件升级。</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2025年预算安排资金15万元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val="en-US" w:eastAsia="zh-CN"/>
        </w:rPr>
        <w:t>巩固提升三区城区生活垃圾分类全覆盖成果，强化宣传引导，提升居民生活垃圾分类宣传覆盖面和参与度。</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项目支出绩效目标表</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color w:val="000000"/>
          <w:kern w:val="0"/>
          <w:sz w:val="20"/>
          <w:szCs w:val="20"/>
        </w:rPr>
        <w:t>（202</w:t>
      </w:r>
      <w:r>
        <w:rPr>
          <w:rFonts w:hint="eastAsia" w:cs="宋体"/>
          <w:color w:val="000000"/>
          <w:kern w:val="0"/>
          <w:sz w:val="20"/>
          <w:szCs w:val="20"/>
          <w:lang w:val="en-US" w:eastAsia="zh-CN"/>
        </w:rPr>
        <w:t>5</w:t>
      </w:r>
      <w:r>
        <w:rPr>
          <w:rFonts w:hint="eastAsia" w:ascii="宋体" w:hAnsi="宋体" w:eastAsia="宋体" w:cs="宋体"/>
          <w:color w:val="000000"/>
          <w:kern w:val="0"/>
          <w:sz w:val="20"/>
          <w:szCs w:val="20"/>
        </w:rPr>
        <w:t>年度）</w:t>
      </w: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775"/>
        <w:gridCol w:w="313"/>
        <w:gridCol w:w="502"/>
        <w:gridCol w:w="3109"/>
        <w:gridCol w:w="199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4202" w:type="pct"/>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生活垃圾分类工作经费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及代码</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r>
              <w:rPr>
                <w:rFonts w:hint="eastAsia" w:ascii="宋体" w:cs="宋体"/>
                <w:sz w:val="20"/>
              </w:rPr>
              <w:t>[269]淮北市城市管理局</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实施单位</w:t>
            </w:r>
          </w:p>
        </w:tc>
        <w:tc>
          <w:tcPr>
            <w:tcW w:w="132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eastAsiaTheme="minorEastAsia"/>
                <w:lang w:eastAsia="zh-CN"/>
              </w:rPr>
            </w:pPr>
            <w:r>
              <w:rPr>
                <w:rFonts w:hint="eastAsia"/>
                <w:lang w:eastAsia="zh-CN"/>
              </w:rPr>
              <w:t>淮北市环境卫生管理处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本级项目</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项目期</w:t>
            </w:r>
          </w:p>
        </w:tc>
        <w:tc>
          <w:tcPr>
            <w:tcW w:w="132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Theme="minorEastAsia"/>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lang w:val="en-US" w:eastAsia="zh-CN"/>
              </w:rPr>
            </w:pPr>
            <w:r>
              <w:rPr>
                <w:rFonts w:hint="eastAsia" w:ascii="宋体" w:cs="宋体"/>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3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4761" w:type="pct"/>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宋体" w:cs="宋体" w:eastAsiaTheme="minorEastAsia"/>
                <w:sz w:val="20"/>
                <w:lang w:val="en-US" w:eastAsia="zh-CN"/>
              </w:rPr>
            </w:pPr>
            <w:bookmarkStart w:id="34" w:name="OLE_LINK35"/>
            <w:r>
              <w:rPr>
                <w:rFonts w:hint="eastAsia" w:ascii="宋体" w:cs="宋体"/>
                <w:sz w:val="20"/>
                <w:lang w:val="en-US" w:eastAsia="zh-CN"/>
              </w:rPr>
              <w:t>巩固提升三区城区生活垃圾分类全覆盖成果，强化宣传引导，提升居民生活垃圾分类宣传覆盖面和参与度。</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3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159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2347"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垃圾分类宣传次数</w:t>
            </w:r>
          </w:p>
        </w:tc>
        <w:tc>
          <w:tcPr>
            <w:tcW w:w="2347" w:type="pct"/>
            <w:gridSpan w:val="2"/>
            <w:tcBorders>
              <w:tl2br w:val="nil"/>
              <w:tr2bl w:val="nil"/>
            </w:tcBorders>
            <w:vAlign w:val="center"/>
          </w:tcPr>
          <w:p>
            <w:pPr>
              <w:pStyle w:val="2"/>
              <w:jc w:val="center"/>
              <w:rPr>
                <w:rFonts w:hint="default" w:eastAsia="宋体"/>
                <w:lang w:val="en-US" w:eastAsia="zh-CN"/>
              </w:rPr>
            </w:pPr>
            <w:r>
              <w:rPr>
                <w:rFonts w:hint="eastAsia" w:eastAsia="宋体"/>
                <w:lang w:eastAsia="zh-CN"/>
              </w:rPr>
              <w:t>不低于</w:t>
            </w:r>
            <w:r>
              <w:rPr>
                <w:rFonts w:hint="eastAsia" w:eastAsia="宋体"/>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宣传培训人次</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cs="宋体"/>
                <w:sz w:val="20"/>
                <w:lang w:val="en-US" w:eastAsia="zh-CN"/>
              </w:rPr>
              <w:t>30000人次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知晓率</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cs="宋体"/>
                <w:sz w:val="20"/>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单次宣传费用</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default" w:ascii="Arial" w:hAnsi="Arial" w:eastAsia="宋体" w:cs="Arial"/>
                <w:sz w:val="20"/>
                <w:lang w:val="en-US" w:eastAsia="zh-CN"/>
              </w:rPr>
              <w:t>≤</w:t>
            </w:r>
            <w:r>
              <w:rPr>
                <w:rFonts w:hint="eastAsia" w:ascii="宋体" w:cs="宋体"/>
                <w:sz w:val="20"/>
                <w:lang w:val="en-US" w:eastAsia="zh-CN"/>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生活垃圾回收利用率</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cs="宋体"/>
                <w:sz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生活垃圾资源化利用效率</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城市人居生态环境</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逐步改善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可持续影响指标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lang w:eastAsia="zh-CN"/>
              </w:rPr>
            </w:pPr>
            <w:r>
              <w:rPr>
                <w:rFonts w:hint="eastAsia" w:ascii="宋体" w:hAnsi="宋体" w:eastAsia="宋体" w:cs="宋体"/>
                <w:sz w:val="20"/>
                <w:lang w:eastAsia="zh-CN"/>
              </w:rPr>
              <w:t>生活垃圾分类管理制度</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逐步完善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1596"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lang w:eastAsia="zh-CN"/>
              </w:rPr>
            </w:pPr>
            <w:r>
              <w:rPr>
                <w:rFonts w:hint="eastAsia" w:ascii="宋体" w:hAnsi="宋体" w:eastAsia="宋体" w:cs="宋体"/>
                <w:sz w:val="20"/>
                <w:lang w:eastAsia="zh-CN"/>
              </w:rPr>
              <w:t>居民小区内的居民对垃圾分类宣传工作的满意程度</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default" w:ascii="Arial" w:hAnsi="Arial" w:cs="Arial"/>
                <w:sz w:val="20"/>
                <w:lang w:val="en-US" w:eastAsia="zh-CN"/>
              </w:rPr>
              <w:t>≥</w:t>
            </w:r>
            <w:r>
              <w:rPr>
                <w:rFonts w:hint="eastAsia" w:ascii="宋体" w:cs="宋体"/>
                <w:sz w:val="20"/>
                <w:lang w:val="en-US" w:eastAsia="zh-CN"/>
              </w:rPr>
              <w:t>90%</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环卫工作管理经费</w:t>
      </w:r>
      <w:r>
        <w:rPr>
          <w:rFonts w:hint="eastAsia" w:ascii="TimesNewRoman" w:hAnsi="TimesNewRoman" w:eastAsia="仿宋_GB2312" w:cs="TimesNewRoman"/>
          <w:kern w:val="0"/>
          <w:sz w:val="32"/>
          <w:szCs w:val="32"/>
        </w:rPr>
        <w:t>”项目。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该项目用于环卫日常工作的开展，保障办公楼和环卫数字化监控平台日常运转，以及垃圾处理状况等督查工作的开展。</w:t>
      </w:r>
    </w:p>
    <w:p>
      <w:pPr>
        <w:ind w:firstLine="640" w:firstLineChars="200"/>
        <w:rPr>
          <w:rFonts w:hint="eastAsia" w:eastAsia="仿宋_GB231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依据单位日常工作开展所需水电费、通信费等。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淮北市环境卫生管理处</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通过多种手段的监督，确保环境卫生各专项经费支出符合程序，发挥财政资金效力。</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2025年预算安排资金70.67万元。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保障</w:t>
      </w:r>
      <w:r>
        <w:rPr>
          <w:rFonts w:hint="eastAsia" w:ascii="TimesNewRoman" w:hAnsi="TimesNewRoman" w:eastAsia="仿宋_GB2312" w:cs="TimesNewRoman"/>
          <w:kern w:val="0"/>
          <w:sz w:val="32"/>
          <w:szCs w:val="32"/>
          <w:lang w:val="en-US" w:eastAsia="zh-CN"/>
        </w:rPr>
        <w:t>环卫工作正常高效运转。</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551" w:firstLineChars="196"/>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项目支出绩效目标表</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392" w:firstLineChars="196"/>
        <w:jc w:val="center"/>
        <w:textAlignment w:val="auto"/>
        <w:rPr>
          <w:rFonts w:hint="eastAsia" w:ascii="宋体" w:hAnsi="宋体" w:eastAsia="宋体" w:cs="宋体"/>
          <w:b/>
          <w:color w:val="000000"/>
          <w:kern w:val="0"/>
          <w:sz w:val="28"/>
          <w:szCs w:val="28"/>
        </w:rPr>
      </w:pPr>
      <w:r>
        <w:rPr>
          <w:rFonts w:hint="eastAsia" w:ascii="宋体" w:hAnsi="宋体" w:eastAsia="宋体" w:cs="宋体"/>
          <w:color w:val="000000"/>
          <w:kern w:val="0"/>
          <w:sz w:val="20"/>
          <w:szCs w:val="20"/>
        </w:rPr>
        <w:t>（202</w:t>
      </w:r>
      <w:r>
        <w:rPr>
          <w:rFonts w:hint="eastAsia" w:cs="宋体"/>
          <w:color w:val="000000"/>
          <w:kern w:val="0"/>
          <w:sz w:val="20"/>
          <w:szCs w:val="20"/>
          <w:lang w:val="en-US" w:eastAsia="zh-CN"/>
        </w:rPr>
        <w:t>5</w:t>
      </w:r>
      <w:r>
        <w:rPr>
          <w:rFonts w:hint="eastAsia" w:ascii="宋体" w:hAnsi="宋体" w:eastAsia="宋体" w:cs="宋体"/>
          <w:color w:val="000000"/>
          <w:kern w:val="0"/>
          <w:sz w:val="20"/>
          <w:szCs w:val="20"/>
        </w:rPr>
        <w:t>年度）</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775"/>
        <w:gridCol w:w="312"/>
        <w:gridCol w:w="504"/>
        <w:gridCol w:w="3107"/>
        <w:gridCol w:w="199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4202" w:type="pct"/>
            <w:gridSpan w:val="4"/>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环卫工作管理经费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及代码</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r>
              <w:rPr>
                <w:rFonts w:hint="eastAsia" w:ascii="宋体" w:cs="宋体"/>
                <w:sz w:val="20"/>
              </w:rPr>
              <w:t>[269]淮北市城市管理局</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实施单位</w:t>
            </w:r>
          </w:p>
        </w:tc>
        <w:tc>
          <w:tcPr>
            <w:tcW w:w="132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eastAsiaTheme="minorEastAsia"/>
                <w:lang w:eastAsia="zh-CN"/>
              </w:rPr>
            </w:pPr>
            <w:r>
              <w:rPr>
                <w:rFonts w:hint="eastAsia"/>
                <w:lang w:eastAsia="zh-CN"/>
              </w:rPr>
              <w:t>淮北市环境卫生管理处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1855"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cs="宋体" w:eastAsiaTheme="minorEastAsia"/>
                <w:sz w:val="20"/>
                <w:lang w:eastAsia="zh-CN"/>
              </w:rPr>
            </w:pPr>
            <w:r>
              <w:rPr>
                <w:rFonts w:hint="eastAsia" w:ascii="宋体" w:cs="宋体"/>
                <w:sz w:val="20"/>
                <w:lang w:eastAsia="zh-CN"/>
              </w:rPr>
              <w:t>本级项目</w:t>
            </w:r>
          </w:p>
        </w:tc>
        <w:tc>
          <w:tcPr>
            <w:tcW w:w="102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color w:val="000000"/>
                <w:kern w:val="0"/>
                <w:sz w:val="20"/>
                <w:szCs w:val="20"/>
              </w:rPr>
              <w:t>项目期</w:t>
            </w:r>
          </w:p>
        </w:tc>
        <w:tc>
          <w:tcPr>
            <w:tcW w:w="132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97" w:type="pct"/>
            <w:gridSpan w:val="3"/>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hint="default" w:ascii="宋体" w:cs="宋体" w:eastAsiaTheme="minorEastAsia"/>
                <w:sz w:val="20"/>
                <w:lang w:val="en-US" w:eastAsia="zh-CN"/>
              </w:rPr>
            </w:pPr>
            <w:r>
              <w:rPr>
                <w:rFonts w:hint="eastAsia" w:ascii="宋体" w:cs="宋体"/>
                <w:sz w:val="20"/>
                <w:lang w:val="en-US" w:eastAsia="zh-CN"/>
              </w:rPr>
              <w:t>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gridSpan w:val="3"/>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185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2347"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4760" w:type="pct"/>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cs="宋体" w:eastAsiaTheme="minorEastAsia"/>
                <w:sz w:val="20"/>
                <w:lang w:eastAsia="zh-CN"/>
              </w:rPr>
            </w:pPr>
            <w:bookmarkStart w:id="35" w:name="OLE_LINK36"/>
            <w:r>
              <w:rPr>
                <w:rFonts w:hint="eastAsia" w:ascii="宋体" w:cs="宋体"/>
                <w:sz w:val="20"/>
                <w:lang w:eastAsia="zh-CN"/>
              </w:rPr>
              <w:t>环卫工作正常高效运转。</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3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159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2347"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办公楼物业管理面积</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cs="宋体"/>
                <w:sz w:val="20"/>
                <w:lang w:val="en-US" w:eastAsia="zh-CN"/>
              </w:rPr>
              <w:t>1021平方米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办公网络运行状态</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lang w:eastAsia="zh-CN"/>
              </w:rPr>
            </w:pPr>
            <w:r>
              <w:rPr>
                <w:rFonts w:hint="eastAsia"/>
                <w:lang w:eastAsia="zh-CN"/>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9" w:type="pct"/>
            <w:vMerge w:val="continue"/>
            <w:tcBorders>
              <w:tl2br w:val="nil"/>
              <w:tr2bl w:val="nil"/>
            </w:tcBorders>
            <w:vAlign w:val="center"/>
          </w:tcPr>
          <w:p>
            <w:pPr>
              <w:keepNext w:val="0"/>
              <w:keepLines w:val="0"/>
              <w:widowControl/>
              <w:suppressLineNumbers w:val="0"/>
              <w:jc w:val="center"/>
              <w:textAlignment w:val="center"/>
            </w:pPr>
          </w:p>
        </w:tc>
        <w:tc>
          <w:tcPr>
            <w:tcW w:w="398" w:type="pct"/>
            <w:vMerge w:val="continue"/>
            <w:tcBorders>
              <w:tl2br w:val="nil"/>
              <w:tr2bl w:val="nil"/>
            </w:tcBorders>
            <w:vAlign w:val="center"/>
          </w:tcPr>
          <w:p>
            <w:pPr>
              <w:keepNext w:val="0"/>
              <w:keepLines w:val="0"/>
              <w:widowControl/>
              <w:suppressLineNumbers w:val="0"/>
              <w:jc w:val="center"/>
              <w:textAlignment w:val="center"/>
            </w:pPr>
          </w:p>
        </w:tc>
        <w:tc>
          <w:tcPr>
            <w:tcW w:w="419" w:type="pct"/>
            <w:gridSpan w:val="2"/>
            <w:vMerge w:val="continue"/>
            <w:tcBorders>
              <w:tl2br w:val="nil"/>
              <w:tr2bl w:val="nil"/>
            </w:tcBorders>
            <w:vAlign w:val="center"/>
          </w:tcPr>
          <w:p>
            <w:pPr>
              <w:keepNext w:val="0"/>
              <w:keepLines w:val="0"/>
              <w:widowControl/>
              <w:suppressLineNumbers w:val="0"/>
              <w:jc w:val="center"/>
              <w:textAlignment w:val="center"/>
            </w:pP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督查车辆运转情况</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39"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398" w:type="pct"/>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419" w:type="pct"/>
            <w:gridSpan w:val="2"/>
            <w:vMerge w:val="continue"/>
            <w:tcBorders>
              <w:tl2br w:val="nil"/>
              <w:tr2bl w:val="nil"/>
            </w:tcBorders>
            <w:vAlign w:val="center"/>
          </w:tcPr>
          <w:p>
            <w:pPr>
              <w:keepNext w:val="0"/>
              <w:keepLines w:val="0"/>
              <w:widowControl/>
              <w:suppressLineNumbers w:val="0"/>
              <w:jc w:val="center"/>
              <w:textAlignment w:val="center"/>
              <w:rPr>
                <w:rFonts w:ascii="宋体" w:cs="宋体"/>
                <w:sz w:val="20"/>
              </w:rPr>
            </w:pP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监管网络运行情况</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办公、监控网络维修时效</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年度预算安排资金</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≤70.67万元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租赁、维修合同金额</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严格按照合同履约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提供社会就业岗位</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val="en-US" w:eastAsia="zh-CN"/>
              </w:rPr>
            </w:pPr>
            <w:r>
              <w:rPr>
                <w:rFonts w:hint="eastAsia" w:ascii="宋体" w:cs="宋体"/>
                <w:sz w:val="20"/>
                <w:lang w:val="en-US" w:eastAsia="zh-CN"/>
              </w:rPr>
              <w:t>城乡环境卫生效益</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lang w:eastAsia="zh-CN"/>
              </w:rPr>
            </w:pPr>
            <w:r>
              <w:rPr>
                <w:rFonts w:hint="eastAsia"/>
                <w:lang w:eastAsia="zh-CN"/>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可持续影响指标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lang w:eastAsia="zh-CN"/>
              </w:rPr>
            </w:pPr>
            <w:r>
              <w:rPr>
                <w:rFonts w:hint="eastAsia" w:ascii="宋体" w:hAnsi="宋体" w:eastAsia="宋体" w:cs="宋体"/>
                <w:sz w:val="20"/>
                <w:lang w:eastAsia="zh-CN"/>
              </w:rPr>
              <w:t>城乡和持续发展</w:t>
            </w:r>
          </w:p>
        </w:tc>
        <w:tc>
          <w:tcPr>
            <w:tcW w:w="2347" w:type="pct"/>
            <w:gridSpan w:val="2"/>
            <w:tcBorders>
              <w:tl2br w:val="nil"/>
              <w:tr2bl w:val="nil"/>
            </w:tcBorders>
            <w:vAlign w:val="center"/>
          </w:tcPr>
          <w:p>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cs="宋体"/>
                <w:sz w:val="20"/>
                <w:lang w:eastAsia="zh-CN"/>
              </w:rPr>
              <w:t>逐步完善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9"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cs="宋体"/>
                <w:sz w:val="20"/>
              </w:rPr>
            </w:pPr>
          </w:p>
        </w:tc>
        <w:tc>
          <w:tcPr>
            <w:tcW w:w="3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419"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sz w:val="20"/>
              </w:rPr>
            </w:pPr>
            <w:r>
              <w:rPr>
                <w:rFonts w:hint="eastAsia" w:ascii="宋体" w:hAnsi="宋体" w:eastAsia="宋体" w:cs="宋体"/>
                <w:sz w:val="20"/>
              </w:rPr>
              <w:t>满意度指标</w:t>
            </w:r>
          </w:p>
        </w:tc>
        <w:tc>
          <w:tcPr>
            <w:tcW w:w="1595"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20"/>
                <w:lang w:eastAsia="zh-CN"/>
              </w:rPr>
            </w:pPr>
            <w:r>
              <w:rPr>
                <w:rFonts w:hint="eastAsia" w:ascii="宋体" w:hAnsi="宋体" w:eastAsia="宋体" w:cs="宋体"/>
                <w:sz w:val="20"/>
                <w:lang w:eastAsia="zh-CN"/>
              </w:rPr>
              <w:t>职工满意度</w:t>
            </w:r>
          </w:p>
        </w:tc>
        <w:tc>
          <w:tcPr>
            <w:tcW w:w="2347" w:type="pct"/>
            <w:gridSpan w:val="2"/>
            <w:tcBorders>
              <w:tl2br w:val="nil"/>
              <w:tr2bl w:val="nil"/>
            </w:tcBorders>
            <w:vAlign w:val="center"/>
          </w:tcPr>
          <w:p>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cs="宋体"/>
                <w:sz w:val="20"/>
                <w:lang w:val="en-US" w:eastAsia="zh-CN"/>
              </w:rPr>
              <w:t>100%</w:t>
            </w: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bCs/>
          <w:sz w:val="32"/>
          <w:szCs w:val="32"/>
          <w:lang w:eastAsia="zh-CN"/>
        </w:rPr>
        <w:t>环境卫生管理处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环境卫生管理处</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15168.18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YzM4ZjFjMGEwZGJlZWY3MWJlY2FiNTUyZjI5OTkifQ=="/>
    <w:docVar w:name="KSO_WPS_MARK_KEY" w:val="78061257-a7c0-4494-a2b6-10a10ab15318"/>
  </w:docVars>
  <w:rsids>
    <w:rsidRoot w:val="00E907C4"/>
    <w:rsid w:val="000E28EE"/>
    <w:rsid w:val="00267E33"/>
    <w:rsid w:val="004A4DC6"/>
    <w:rsid w:val="0057562B"/>
    <w:rsid w:val="006546AF"/>
    <w:rsid w:val="00726D96"/>
    <w:rsid w:val="00740B10"/>
    <w:rsid w:val="007862C0"/>
    <w:rsid w:val="008F6D1A"/>
    <w:rsid w:val="009168AC"/>
    <w:rsid w:val="009A3CA3"/>
    <w:rsid w:val="009E62CC"/>
    <w:rsid w:val="00AE3242"/>
    <w:rsid w:val="00B468F1"/>
    <w:rsid w:val="00B964EC"/>
    <w:rsid w:val="00BD640A"/>
    <w:rsid w:val="00DB2A5C"/>
    <w:rsid w:val="00E907C4"/>
    <w:rsid w:val="00EC7755"/>
    <w:rsid w:val="00F45ECB"/>
    <w:rsid w:val="00F974AD"/>
    <w:rsid w:val="00FB5D55"/>
    <w:rsid w:val="1A1C6FD7"/>
    <w:rsid w:val="258C4EBC"/>
    <w:rsid w:val="2ADE7A7B"/>
    <w:rsid w:val="3356788B"/>
    <w:rsid w:val="35A73B7D"/>
    <w:rsid w:val="4C5F718F"/>
    <w:rsid w:val="51E72309"/>
    <w:rsid w:val="64191A38"/>
    <w:rsid w:val="78E3650F"/>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kinsoku w:val="0"/>
      <w:autoSpaceDE w:val="0"/>
      <w:autoSpaceDN w:val="0"/>
      <w:adjustRightInd w:val="0"/>
      <w:snapToGrid w:val="0"/>
      <w:spacing w:after="120"/>
      <w:jc w:val="left"/>
      <w:textAlignment w:val="baseline"/>
    </w:pPr>
    <w:rPr>
      <w:rFonts w:ascii="Arial" w:hAnsi="Arial" w:eastAsia="Arial" w:cs="Arial"/>
      <w:snapToGrid w:val="0"/>
      <w:color w:val="000000"/>
      <w:kern w:val="0"/>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7970</Words>
  <Characters>8980</Characters>
  <Lines>48</Lines>
  <Paragraphs>13</Paragraphs>
  <TotalTime>26</TotalTime>
  <ScaleCrop>false</ScaleCrop>
  <LinksUpToDate>false</LinksUpToDate>
  <CharactersWithSpaces>9180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2025-02-18T09:03:07Z</cp:lastPrinted>
  <dcterms:modified xsi:type="dcterms:W3CDTF">2025-02-18T09:22:53Z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2052-11.1.0.14309</vt:lpwstr>
  </property>
  <property fmtid="{D5CDD505-2E9C-101B-9397-08002B2CF9AE}" pid="4" name="ICV">
    <vt:lpwstr>EA8F26CB3E6946638B6B6B4728C642E4_12</vt:lpwstr>
  </property>
</Properties>
</file>