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w:t>
      </w:r>
      <w:r>
        <w:rPr>
          <w:rFonts w:hint="eastAsia" w:ascii="TimesNewRoman" w:hAnsi="TimesNewRoman" w:eastAsia="华文中宋" w:cs="TimesNewRoman"/>
          <w:b/>
          <w:sz w:val="44"/>
          <w:szCs w:val="44"/>
          <w:lang w:eastAsia="zh-CN"/>
        </w:rPr>
        <w:t>市城市管理执法监督指挥中心</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9"/>
        <w:adjustRightInd w:val="0"/>
        <w:snapToGrid w:val="0"/>
        <w:spacing w:line="560" w:lineRule="exact"/>
        <w:jc w:val="center"/>
        <w:rPr>
          <w:rFonts w:ascii="TimesNewRoman" w:hAnsi="TimesNewRoman" w:eastAsia="黑体" w:cs="TimesNewRoman"/>
          <w:bCs/>
          <w:sz w:val="44"/>
          <w:szCs w:val="44"/>
        </w:rPr>
      </w:pPr>
    </w:p>
    <w:p w14:paraId="2CA18215">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244ABAD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1FC95EA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4041809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2025年收支总表</w:t>
      </w:r>
    </w:p>
    <w:p w14:paraId="3E5AAF4C">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2025年收入总表</w:t>
      </w:r>
    </w:p>
    <w:p w14:paraId="562E7783">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2025年支出总表</w:t>
      </w:r>
    </w:p>
    <w:p w14:paraId="74678004">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2025年财政拨款收支总表</w:t>
      </w:r>
    </w:p>
    <w:p w14:paraId="5CB64D0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2025年一般公共预算支出表</w:t>
      </w:r>
    </w:p>
    <w:p w14:paraId="57685D9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2025年一般公共预算基本支出表</w:t>
      </w:r>
    </w:p>
    <w:p w14:paraId="0731049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2025年政府性基金预算支出表</w:t>
      </w:r>
    </w:p>
    <w:p w14:paraId="77A6721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2025年国有资本经营预算支出表</w:t>
      </w:r>
    </w:p>
    <w:p w14:paraId="2CAE7E1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2025年项目支出表</w:t>
      </w:r>
    </w:p>
    <w:p w14:paraId="61EFDA1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2025年政府采购支出表</w:t>
      </w:r>
    </w:p>
    <w:p w14:paraId="6207274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2025年政府购买服务支出表</w:t>
      </w:r>
    </w:p>
    <w:p w14:paraId="4F7D6475">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城市管理执法监督指挥中心</w:t>
      </w:r>
      <w:r>
        <w:rPr>
          <w:rFonts w:ascii="TimesNewRoman" w:hAnsi="TimesNewRoman" w:eastAsia="仿宋_GB2312" w:cs="TimesNewRoman"/>
          <w:bCs/>
          <w:sz w:val="32"/>
          <w:szCs w:val="32"/>
        </w:rPr>
        <w:t>2025年通用资产配置支出表</w:t>
      </w:r>
    </w:p>
    <w:p w14:paraId="1195DFD1">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5D095B4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9"/>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221A2785">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50B3DA5A">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199E9BDB"/>
    <w:p w14:paraId="12CD7C48">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9E020BE">
      <w:pPr>
        <w:pStyle w:val="9"/>
        <w:adjustRightInd w:val="0"/>
        <w:snapToGrid w:val="0"/>
        <w:spacing w:before="0" w:beforeAutospacing="0" w:after="0" w:afterAutospacing="0" w:line="360" w:lineRule="auto"/>
        <w:ind w:firstLine="627" w:firstLineChars="196"/>
        <w:jc w:val="both"/>
        <w:rPr>
          <w:rFonts w:hint="eastAsia"/>
          <w:b w:val="0"/>
          <w:bCs w:val="0"/>
          <w:sz w:val="32"/>
          <w:szCs w:val="32"/>
          <w:highlight w:val="none"/>
          <w:u w:val="single"/>
        </w:rPr>
      </w:pP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关于调整市城管局部分事业单位机构编制事项的批复</w:t>
      </w:r>
      <w:r>
        <w:rPr>
          <w:rFonts w:hint="eastAsia" w:ascii="仿宋_GB2312" w:eastAsia="仿宋_GB2312"/>
          <w:sz w:val="32"/>
          <w:szCs w:val="32"/>
          <w:highlight w:val="none"/>
          <w:lang w:eastAsia="zh-CN"/>
        </w:rPr>
        <w:t>》（淮</w:t>
      </w:r>
      <w:r>
        <w:rPr>
          <w:rFonts w:hint="eastAsia" w:ascii="仿宋_GB2312" w:eastAsia="仿宋_GB2312"/>
          <w:sz w:val="32"/>
          <w:szCs w:val="32"/>
          <w:highlight w:val="none"/>
          <w:lang w:val="en-US" w:eastAsia="zh-CN"/>
        </w:rPr>
        <w:t>编</w:t>
      </w:r>
      <w:r>
        <w:rPr>
          <w:rFonts w:hint="eastAsia" w:ascii="方正小标宋简体" w:hAnsi="方正小标宋简体" w:eastAsia="方正小标宋简体" w:cs="方正小标宋简体"/>
          <w:sz w:val="32"/>
          <w:szCs w:val="32"/>
          <w:highlight w:val="none"/>
          <w:lang w:eastAsia="zh-CN"/>
        </w:rPr>
        <w:t>［</w:t>
      </w:r>
      <w:r>
        <w:rPr>
          <w:rFonts w:hint="eastAsia" w:ascii="仿宋_GB2312" w:hAnsi="Times New Roman" w:eastAsia="仿宋_GB2312" w:cs="Times New Roman"/>
          <w:sz w:val="32"/>
          <w:szCs w:val="32"/>
          <w:highlight w:val="none"/>
          <w:lang w:val="en-US" w:eastAsia="zh-CN"/>
        </w:rPr>
        <w:t>2020</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44号</w:t>
      </w:r>
      <w:r>
        <w:rPr>
          <w:rFonts w:hint="eastAsia" w:ascii="仿宋_GB2312" w:hAnsi="Times New Roman" w:eastAsia="仿宋_GB2312" w:cs="Times New Roman"/>
          <w:sz w:val="32"/>
          <w:szCs w:val="32"/>
          <w:highlight w:val="none"/>
          <w:lang w:eastAsia="zh-CN"/>
        </w:rPr>
        <w:t>）</w:t>
      </w:r>
      <w:r>
        <w:rPr>
          <w:rFonts w:hint="eastAsia" w:ascii="仿宋_GB2312" w:eastAsia="仿宋_GB2312"/>
          <w:sz w:val="32"/>
          <w:szCs w:val="32"/>
          <w:highlight w:val="none"/>
        </w:rPr>
        <w:t>文件规定，</w:t>
      </w:r>
      <w:r>
        <w:rPr>
          <w:rFonts w:hint="eastAsia" w:ascii="仿宋_GB2312" w:hAnsi="仿宋" w:eastAsia="仿宋_GB2312" w:cs="仿宋"/>
          <w:bCs/>
          <w:kern w:val="0"/>
          <w:sz w:val="32"/>
          <w:szCs w:val="32"/>
          <w:highlight w:val="none"/>
          <w:lang w:val="en-US" w:eastAsia="zh-CN" w:bidi="ar-SA"/>
        </w:rPr>
        <w:t>市城市管理执法监督指挥中心主要职责是：负责全市城市综合管理工作的统筹协调、指挥调度和监督考核，负责智慧城管平台建设运行管理，负责平台受理的各类城市管理和执法问题的交办督办、调度落实等工作。</w:t>
      </w:r>
    </w:p>
    <w:p w14:paraId="20665CF8">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548086DD">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城市管理执法监督指挥中心</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w:t>
      </w:r>
      <w:r>
        <w:rPr>
          <w:rFonts w:hint="eastAsia" w:ascii="TimesNewRoman" w:hAnsi="TimesNewRoman" w:eastAsia="仿宋_GB2312" w:cs="TimesNewRoman"/>
          <w:sz w:val="32"/>
          <w:szCs w:val="32"/>
          <w:lang w:eastAsia="zh-CN"/>
        </w:rPr>
        <w:t>本单位</w:t>
      </w:r>
      <w:r>
        <w:rPr>
          <w:rFonts w:hint="eastAsia" w:ascii="TimesNewRoman" w:hAnsi="TimesNewRoman" w:eastAsia="仿宋_GB2312" w:cs="TimesNewRoman"/>
          <w:sz w:val="32"/>
          <w:szCs w:val="32"/>
        </w:rPr>
        <w:t>预算，无其他下属单位预算。</w:t>
      </w:r>
    </w:p>
    <w:p w14:paraId="7E25E398">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2FC63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bCs/>
          <w:sz w:val="32"/>
          <w:szCs w:val="32"/>
          <w:lang w:eastAsia="zh-CN"/>
        </w:rPr>
        <w:t>）</w:t>
      </w:r>
      <w:r>
        <w:rPr>
          <w:rFonts w:hint="default" w:ascii="Times New Roman" w:hAnsi="Times New Roman" w:eastAsia="黑体" w:cs="Times New Roman"/>
          <w:b w:val="0"/>
          <w:bCs w:val="0"/>
          <w:kern w:val="0"/>
          <w:sz w:val="32"/>
          <w:szCs w:val="32"/>
        </w:rPr>
        <w:t>推进智慧城管相关项目运维、迁云等工作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一是</w:t>
      </w:r>
      <w:r>
        <w:rPr>
          <w:rFonts w:hint="default" w:ascii="Times New Roman" w:hAnsi="Times New Roman" w:eastAsia="仿宋_GB2312" w:cs="Times New Roman"/>
          <w:kern w:val="0"/>
          <w:sz w:val="32"/>
          <w:szCs w:val="32"/>
        </w:rPr>
        <w:t>协调推进智慧城管指挥中心运维项目资金落实</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kern w:val="0"/>
          <w:sz w:val="32"/>
          <w:szCs w:val="32"/>
        </w:rPr>
        <w:t>积极对接市财政局，</w:t>
      </w:r>
      <w:r>
        <w:rPr>
          <w:rFonts w:hint="default" w:ascii="Times New Roman" w:hAnsi="Times New Roman" w:eastAsia="仿宋_GB2312" w:cs="Times New Roman"/>
          <w:kern w:val="0"/>
          <w:sz w:val="32"/>
          <w:szCs w:val="32"/>
          <w:lang w:val="en-US" w:eastAsia="zh-CN"/>
        </w:rPr>
        <w:t>尽快</w:t>
      </w:r>
      <w:r>
        <w:rPr>
          <w:rFonts w:hint="default" w:ascii="Times New Roman" w:hAnsi="Times New Roman" w:eastAsia="仿宋_GB2312" w:cs="Times New Roman"/>
          <w:kern w:val="0"/>
          <w:sz w:val="32"/>
          <w:szCs w:val="32"/>
        </w:rPr>
        <w:t>协</w:t>
      </w:r>
      <w:r>
        <w:rPr>
          <w:rFonts w:hint="default" w:ascii="Times New Roman" w:hAnsi="Times New Roman" w:eastAsia="仿宋_GB2312" w:cs="Times New Roman"/>
          <w:kern w:val="0"/>
          <w:sz w:val="32"/>
          <w:szCs w:val="32"/>
          <w:lang w:val="en-US" w:eastAsia="zh-CN"/>
        </w:rPr>
        <w:t>调</w:t>
      </w:r>
      <w:r>
        <w:rPr>
          <w:rFonts w:hint="default" w:ascii="Times New Roman" w:hAnsi="Times New Roman" w:eastAsia="仿宋_GB2312" w:cs="Times New Roman"/>
          <w:kern w:val="0"/>
          <w:sz w:val="32"/>
          <w:szCs w:val="32"/>
        </w:rPr>
        <w:t>落实</w:t>
      </w:r>
      <w:r>
        <w:rPr>
          <w:rFonts w:hint="default" w:ascii="Times New Roman" w:hAnsi="Times New Roman" w:eastAsia="仿宋_GB2312" w:cs="Times New Roman"/>
          <w:kern w:val="0"/>
          <w:sz w:val="32"/>
          <w:szCs w:val="32"/>
          <w:lang w:val="en-US" w:eastAsia="zh-CN"/>
        </w:rPr>
        <w:t>49、694万元</w:t>
      </w:r>
      <w:r>
        <w:rPr>
          <w:rFonts w:hint="default" w:ascii="Times New Roman" w:hAnsi="Times New Roman" w:eastAsia="仿宋_GB2312" w:cs="Times New Roman"/>
          <w:kern w:val="0"/>
          <w:sz w:val="32"/>
          <w:szCs w:val="32"/>
        </w:rPr>
        <w:t>运维资金</w:t>
      </w:r>
      <w:r>
        <w:rPr>
          <w:rFonts w:hint="default" w:ascii="Times New Roman" w:hAnsi="Times New Roman" w:eastAsia="仿宋_GB2312" w:cs="Times New Roman"/>
          <w:kern w:val="0"/>
          <w:sz w:val="32"/>
          <w:szCs w:val="32"/>
          <w:lang w:val="en-US" w:eastAsia="zh-CN"/>
        </w:rPr>
        <w:t>问题</w:t>
      </w:r>
      <w:r>
        <w:rPr>
          <w:rFonts w:hint="default" w:ascii="Times New Roman" w:hAnsi="Times New Roman" w:eastAsia="仿宋_GB2312" w:cs="Times New Roman"/>
          <w:kern w:val="0"/>
          <w:sz w:val="32"/>
          <w:szCs w:val="32"/>
        </w:rPr>
        <w:t>，根据运维资金落实情况，筹备开展项目运维后续工作；二是协调落实智慧城管拓展系统建设升级项目资金，该项目将于2025年10月质保期到期，</w:t>
      </w:r>
      <w:r>
        <w:rPr>
          <w:rFonts w:hint="default" w:ascii="Times New Roman" w:hAnsi="Times New Roman" w:eastAsia="仿宋_GB2312" w:cs="Times New Roman"/>
          <w:kern w:val="0"/>
          <w:sz w:val="32"/>
          <w:szCs w:val="32"/>
          <w:lang w:val="en-US" w:eastAsia="zh-CN"/>
        </w:rPr>
        <w:t>需要跟进协调</w:t>
      </w:r>
      <w:r>
        <w:rPr>
          <w:rFonts w:hint="default" w:ascii="Times New Roman" w:hAnsi="Times New Roman" w:eastAsia="仿宋_GB2312" w:cs="Times New Roman"/>
          <w:kern w:val="0"/>
          <w:sz w:val="32"/>
          <w:szCs w:val="32"/>
        </w:rPr>
        <w:t>市财政局</w:t>
      </w:r>
      <w:r>
        <w:rPr>
          <w:rFonts w:hint="default" w:ascii="Times New Roman" w:hAnsi="Times New Roman" w:eastAsia="仿宋_GB2312" w:cs="Times New Roman"/>
          <w:kern w:val="0"/>
          <w:sz w:val="32"/>
          <w:szCs w:val="32"/>
          <w:lang w:val="en-US" w:eastAsia="zh-CN"/>
        </w:rPr>
        <w:t>会商</w:t>
      </w:r>
      <w:r>
        <w:rPr>
          <w:rFonts w:hint="default" w:ascii="Times New Roman" w:hAnsi="Times New Roman" w:eastAsia="仿宋_GB2312" w:cs="Times New Roman"/>
          <w:kern w:val="0"/>
          <w:sz w:val="32"/>
          <w:szCs w:val="32"/>
        </w:rPr>
        <w:t>解决运维资金；</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做好城市运管服平台迁云工作，按照市数据局关于政府系统迁移至政务云平台的“能迁尽迁”要求，已向市数据局申报云资源申请，根据市数据局云资源开放进展，联合项目承建单位，做好项目迁云、调试工作。</w:t>
      </w:r>
    </w:p>
    <w:p w14:paraId="7B29D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bCs/>
          <w:sz w:val="32"/>
          <w:szCs w:val="32"/>
          <w:lang w:eastAsia="zh-CN"/>
        </w:rPr>
        <w:t>（二）</w:t>
      </w:r>
      <w:r>
        <w:rPr>
          <w:rFonts w:hint="default" w:ascii="Times New Roman" w:hAnsi="Times New Roman" w:eastAsia="黑体" w:cs="Times New Roman"/>
          <w:b w:val="0"/>
          <w:bCs w:val="0"/>
          <w:kern w:val="0"/>
          <w:sz w:val="32"/>
          <w:szCs w:val="32"/>
        </w:rPr>
        <w:t>统筹谋划运管服平台迁入一体化平台。</w:t>
      </w:r>
      <w:r>
        <w:rPr>
          <w:rFonts w:hint="default" w:ascii="Times New Roman" w:hAnsi="Times New Roman" w:eastAsia="仿宋_GB2312" w:cs="Times New Roman"/>
          <w:kern w:val="0"/>
          <w:sz w:val="32"/>
          <w:szCs w:val="32"/>
        </w:rPr>
        <w:t>落实省、市数据局工作部署，按照省里建、市县用的原则，加强部门信息系统顶层规划，推动横向协同、纵向联动，做到集约节约，防止重复建设，计划于2025—2026年统筹谋划城市运行管理服务平台迁入一体化平台。做好运管服平台适配改造，并入一体化平台统一登录工作谋划，依托一体化平台海量数据资源，多元应用功能，加大数据共享整合力度，不断丰富和拓展平台功能，规范平台数据标准，搭建好我市城市运行管理服务平台应用基础，进一步提升城市管理科学化、精细化、智能化管理服务水平。</w:t>
      </w:r>
    </w:p>
    <w:p w14:paraId="0553A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bCs/>
          <w:sz w:val="32"/>
          <w:szCs w:val="32"/>
          <w:lang w:eastAsia="zh-CN"/>
        </w:rPr>
        <w:t>（三）</w:t>
      </w:r>
      <w:r>
        <w:rPr>
          <w:rFonts w:hint="default" w:ascii="Times New Roman" w:hAnsi="Times New Roman" w:eastAsia="黑体" w:cs="Times New Roman"/>
          <w:b w:val="0"/>
          <w:bCs w:val="0"/>
          <w:kern w:val="0"/>
          <w:sz w:val="32"/>
          <w:szCs w:val="32"/>
        </w:rPr>
        <w:t>加强运管服务平台运行管理工作。</w:t>
      </w:r>
      <w:r>
        <w:rPr>
          <w:rFonts w:hint="default" w:ascii="Times New Roman" w:hAnsi="Times New Roman" w:eastAsia="仿宋_GB2312" w:cs="Times New Roman"/>
          <w:color w:val="000000"/>
          <w:sz w:val="32"/>
          <w:szCs w:val="32"/>
        </w:rPr>
        <w:t>充分利用智慧化平台，提升城市管理效能，发挥好协调督办作用，</w:t>
      </w:r>
      <w:r>
        <w:rPr>
          <w:rFonts w:hint="default" w:ascii="Times New Roman" w:hAnsi="Times New Roman" w:eastAsia="仿宋_GB2312" w:cs="Times New Roman"/>
          <w:kern w:val="0"/>
          <w:sz w:val="32"/>
          <w:szCs w:val="32"/>
        </w:rPr>
        <w:t>重点加强与县区平台的对接协调、指导监督，修订平台系统考评办法，着力抓好“12345”、微信公众号、小程序、监督巡查、视频监管等平台受理问题的督办落实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按照市网信、公安、数据资源管理等部门要求，切实加强平台运行网络安全建设，防范化解网络风险。持续加强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城管便民生活地图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小程序推广应用，</w:t>
      </w:r>
      <w:r>
        <w:rPr>
          <w:rFonts w:hint="default" w:ascii="Times New Roman" w:hAnsi="Times New Roman" w:eastAsia="仿宋_GB2312" w:cs="Times New Roman"/>
          <w:color w:val="000000"/>
          <w:sz w:val="32"/>
          <w:szCs w:val="32"/>
        </w:rPr>
        <w:t>保障城市管理问题及时办理落实，</w:t>
      </w:r>
      <w:r>
        <w:rPr>
          <w:rFonts w:hint="default" w:ascii="Times New Roman" w:hAnsi="Times New Roman" w:eastAsia="仿宋_GB2312" w:cs="Times New Roman"/>
          <w:kern w:val="0"/>
          <w:sz w:val="32"/>
          <w:szCs w:val="32"/>
        </w:rPr>
        <w:t>不断提升管理服务效能。</w:t>
      </w:r>
    </w:p>
    <w:p w14:paraId="6675D459">
      <w:pPr>
        <w:pStyle w:val="2"/>
        <w:keepNext w:val="0"/>
        <w:keepLines w:val="0"/>
        <w:pageBreakBefore w:val="0"/>
        <w:widowControl w:val="0"/>
        <w:kinsoku/>
        <w:wordWrap/>
        <w:overflowPunct/>
        <w:topLinePunct w:val="0"/>
        <w:autoSpaceDE/>
        <w:autoSpaceDN/>
        <w:bidi w:val="0"/>
        <w:adjustRightInd/>
        <w:snapToGrid/>
        <w:spacing w:beforeLines="0" w:after="0" w:line="560" w:lineRule="exact"/>
        <w:ind w:left="0" w:leftChars="0" w:firstLine="0" w:firstLineChars="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eastAsia="仿宋_GB2312" w:cs="Times New Roman"/>
          <w:kern w:val="0"/>
          <w:sz w:val="32"/>
          <w:szCs w:val="32"/>
          <w:lang w:val="en-US" w:eastAsia="zh-CN"/>
        </w:rPr>
        <w:t>（四）</w:t>
      </w:r>
      <w:r>
        <w:rPr>
          <w:rFonts w:hint="default" w:ascii="Times New Roman" w:hAnsi="Times New Roman" w:eastAsia="黑体" w:cs="Times New Roman"/>
          <w:b w:val="0"/>
          <w:bCs w:val="0"/>
          <w:kern w:val="0"/>
          <w:sz w:val="32"/>
          <w:szCs w:val="32"/>
          <w:lang w:val="en-US" w:eastAsia="zh-CN" w:bidi="ar-SA"/>
        </w:rPr>
        <w:t>扎实推进执法管理服务工作。</w:t>
      </w:r>
      <w:r>
        <w:rPr>
          <w:rFonts w:hint="default" w:ascii="Times New Roman" w:hAnsi="Times New Roman" w:eastAsia="仿宋_GB2312" w:cs="Times New Roman"/>
          <w:kern w:val="0"/>
          <w:sz w:val="32"/>
          <w:szCs w:val="32"/>
          <w:lang w:val="en-US" w:eastAsia="zh-CN"/>
        </w:rPr>
        <w:t>立足城市管理执法体制改革后的职能和实际，会同局法规科、执法科厘清高新区分中心和煤化工分中心在执法管理服务方面的职责定位，建立统一规范、科学高效的执法管理服务工作机制。落实“721”工作法，重点在服务和管理下功夫，积极融入高新区和煤化工园区，协调配合开展好日常巡查、重点督查、专项整治等各项活动，为营造干净、整洁、有序的园区环境发挥更好更有效作用，不断优化园区营商环境。</w:t>
      </w:r>
    </w:p>
    <w:p w14:paraId="275D0687">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bidi="ar-SA"/>
        </w:rPr>
        <w:t>（五）</w:t>
      </w:r>
      <w:r>
        <w:rPr>
          <w:rFonts w:hint="default" w:ascii="Times New Roman" w:hAnsi="Times New Roman" w:eastAsia="黑体" w:cs="Times New Roman"/>
          <w:b w:val="0"/>
          <w:bCs w:val="0"/>
          <w:kern w:val="0"/>
          <w:sz w:val="32"/>
          <w:szCs w:val="32"/>
          <w:lang w:eastAsia="zh-CN"/>
        </w:rPr>
        <w:t>着力抓好队伍建设。</w:t>
      </w:r>
      <w:r>
        <w:rPr>
          <w:rFonts w:hint="default" w:ascii="Times New Roman" w:hAnsi="Times New Roman" w:eastAsia="仿宋_GB2312" w:cs="Times New Roman"/>
          <w:kern w:val="0"/>
          <w:sz w:val="32"/>
          <w:szCs w:val="32"/>
          <w:lang w:val="en-US" w:eastAsia="zh-CN"/>
        </w:rPr>
        <w:t>从逐步建立健全党建工作各项制度入手，落实好“三会一课”，积极推进支部规范化建设，推动各项活动常态化开展。</w:t>
      </w:r>
      <w:r>
        <w:rPr>
          <w:rFonts w:hint="default" w:ascii="Times New Roman" w:hAnsi="Times New Roman" w:eastAsia="仿宋_GB2312" w:cs="Times New Roman"/>
          <w:sz w:val="32"/>
          <w:szCs w:val="32"/>
        </w:rPr>
        <w:t>结合新形势下中心工作需求，</w:t>
      </w:r>
      <w:r>
        <w:rPr>
          <w:rFonts w:hint="default" w:ascii="Times New Roman" w:hAnsi="Times New Roman" w:eastAsia="仿宋_GB2312" w:cs="Times New Roman"/>
          <w:sz w:val="32"/>
          <w:szCs w:val="32"/>
          <w:lang w:val="en-US" w:eastAsia="zh-CN"/>
        </w:rPr>
        <w:t>结合新的岗位设置，</w:t>
      </w:r>
      <w:r>
        <w:rPr>
          <w:rFonts w:hint="default" w:ascii="Times New Roman" w:hAnsi="Times New Roman" w:eastAsia="仿宋_GB2312" w:cs="Times New Roman"/>
          <w:sz w:val="32"/>
          <w:szCs w:val="32"/>
        </w:rPr>
        <w:t>进一步细化中心人员岗位职责，建立分工明确、运转顺畅的工作机制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加强队伍政治素质和业务能力培训，强化内部管理，提升队伍工作积极性、主动性和责任感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努力打造一支工作作风实、业务能力强、综合素质高</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团队。</w:t>
      </w:r>
    </w:p>
    <w:p w14:paraId="045450B9"/>
    <w:p w14:paraId="71B97E7F">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676D7C30">
      <w:pPr>
        <w:pStyle w:val="9"/>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0D1DAE5E"/>
    <w:p w14:paraId="3BD6DD52">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城市管理执法监督指挥中心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城市管理执法监督指挥中心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1023.05</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一般公共预算拨款收入，支出包括：社会保障和就业支出、卫生健康支出、住房保障支出、</w:t>
      </w:r>
      <w:r>
        <w:rPr>
          <w:rFonts w:hint="eastAsia" w:ascii="TimesNewRoman" w:hAnsi="TimesNewRoman" w:eastAsia="仿宋_GB2312" w:cs="TimesNewRoman"/>
          <w:sz w:val="32"/>
          <w:szCs w:val="32"/>
          <w:lang w:eastAsia="zh-CN"/>
        </w:rPr>
        <w:t>城乡社区支出</w:t>
      </w:r>
      <w:r>
        <w:rPr>
          <w:rFonts w:hint="eastAsia" w:ascii="TimesNewRoman" w:hAnsi="TimesNewRoman" w:eastAsia="仿宋_GB2312" w:cs="TimesNewRoman"/>
          <w:sz w:val="32"/>
          <w:szCs w:val="32"/>
        </w:rPr>
        <w:t>。</w:t>
      </w:r>
    </w:p>
    <w:p w14:paraId="16ADEB76">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城市管理执法监督指挥中心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1023.05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793.94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346.53</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是2024年城管执法体制改革，撤销市城管执支队，其中市城管支队46人转入市执法监督指挥中心，2025年预算新增的人员经费支出</w:t>
      </w:r>
      <w:r>
        <w:rPr>
          <w:rFonts w:hint="eastAsia" w:ascii="TimesNewRoman" w:hAnsi="TimesNewRoman" w:eastAsia="仿宋_GB2312" w:cs="TimesNewRoman"/>
          <w:kern w:val="0"/>
          <w:sz w:val="32"/>
          <w:szCs w:val="32"/>
        </w:rPr>
        <w:t>。</w:t>
      </w:r>
    </w:p>
    <w:p w14:paraId="73BD50A5">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w:t>
      </w:r>
      <w:r>
        <w:rPr>
          <w:rFonts w:hint="eastAsia" w:ascii="TimesNewRoman" w:hAnsi="TimesNewRoman" w:eastAsia="仿宋_GB2312" w:cs="TimesNewRoman"/>
          <w:sz w:val="32"/>
          <w:szCs w:val="32"/>
          <w:lang w:eastAsia="zh-CN"/>
        </w:rPr>
        <w:t>执法监督指挥中心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793.94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346.53</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是2024年城管执法体制改革，撤销市城管执支队，其中市城管支队46人转入市执法监督指挥中心，2025年预算新增的人员经费支出</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952.44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93.10</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70.61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6.90</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保障</w:t>
      </w:r>
      <w:r>
        <w:rPr>
          <w:rFonts w:hint="eastAsia" w:ascii="仿宋_GB2312" w:hAnsi="仿宋" w:eastAsia="仿宋_GB2312"/>
          <w:sz w:val="32"/>
          <w:szCs w:val="32"/>
          <w:lang w:eastAsia="zh-CN"/>
        </w:rPr>
        <w:t>城市管理执法监督平台</w:t>
      </w:r>
      <w:r>
        <w:rPr>
          <w:rFonts w:hint="eastAsia" w:ascii="仿宋_GB2312" w:hAnsi="仿宋" w:eastAsia="仿宋_GB2312"/>
          <w:sz w:val="32"/>
          <w:szCs w:val="32"/>
        </w:rPr>
        <w:t>运行支出等</w:t>
      </w:r>
      <w:r>
        <w:rPr>
          <w:rFonts w:hint="eastAsia" w:ascii="TimesNewRoman" w:hAnsi="TimesNewRoman" w:eastAsia="仿宋_GB2312" w:cs="TimesNewRoman"/>
          <w:kern w:val="0"/>
          <w:sz w:val="32"/>
          <w:szCs w:val="32"/>
        </w:rPr>
        <w:t>。</w:t>
      </w:r>
    </w:p>
    <w:p w14:paraId="37506D2C">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w:t>
      </w:r>
      <w:r>
        <w:rPr>
          <w:rFonts w:hint="eastAsia" w:ascii="TimesNewRoman" w:hAnsi="TimesNewRoman" w:eastAsia="仿宋_GB2312" w:cs="TimesNewRoman"/>
          <w:sz w:val="32"/>
          <w:szCs w:val="32"/>
          <w:lang w:eastAsia="zh-CN"/>
        </w:rPr>
        <w:t>执法监督指挥中心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136.11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13.30</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41.38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135.87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709.69万元，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69.37</w:t>
      </w:r>
      <w:r>
        <w:rPr>
          <w:rFonts w:hint="eastAsia" w:ascii="TimesNewRoman" w:hAnsi="TimesNewRoman" w:eastAsia="仿宋_GB2312" w:cs="TimesNewRoman"/>
          <w:kern w:val="0"/>
          <w:sz w:val="32"/>
          <w:szCs w:val="32"/>
        </w:rPr>
        <w:t>%。</w:t>
      </w:r>
    </w:p>
    <w:p w14:paraId="4240515A">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5652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w:t>
      </w:r>
      <w:r>
        <w:rPr>
          <w:rFonts w:hint="eastAsia" w:ascii="TimesNewRoman" w:hAnsi="TimesNewRoman" w:eastAsia="仿宋_GB2312" w:cs="TimesNewRoman"/>
          <w:sz w:val="32"/>
          <w:szCs w:val="32"/>
          <w:lang w:eastAsia="zh-CN"/>
        </w:rPr>
        <w:t>执法监督指挥中心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1023.05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793.94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346.53</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是2024年城管执法体制改革，撤销市城管执支队，其中市城管支队46人转入市执法监督指挥中心，2025年预算新增的人员经费支出</w:t>
      </w:r>
      <w:r>
        <w:rPr>
          <w:rFonts w:hint="eastAsia" w:ascii="TimesNewRoman" w:hAnsi="TimesNewRoman" w:eastAsia="仿宋_GB2312" w:cs="TimesNewRoman"/>
          <w:kern w:val="0"/>
          <w:sz w:val="32"/>
          <w:szCs w:val="32"/>
        </w:rPr>
        <w:t>。</w:t>
      </w:r>
    </w:p>
    <w:p w14:paraId="30E53F94">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B8B7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136.11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13.30</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41.38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135.87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709.69万元，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69.37</w:t>
      </w:r>
      <w:r>
        <w:rPr>
          <w:rFonts w:hint="eastAsia" w:ascii="TimesNewRoman" w:hAnsi="TimesNewRoman" w:eastAsia="仿宋_GB2312" w:cs="TimesNewRoman"/>
          <w:kern w:val="0"/>
          <w:sz w:val="32"/>
          <w:szCs w:val="32"/>
        </w:rPr>
        <w:t>%。</w:t>
      </w:r>
    </w:p>
    <w:p w14:paraId="4FC848B9">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B639D6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款）事业单位离退休（项）2025年预算</w:t>
      </w:r>
      <w:r>
        <w:rPr>
          <w:rFonts w:hint="eastAsia" w:ascii="TimesNewRoman" w:hAnsi="TimesNewRoman" w:eastAsia="仿宋_GB2312" w:cs="TimesNewRoman"/>
          <w:kern w:val="0"/>
          <w:sz w:val="32"/>
          <w:szCs w:val="32"/>
          <w:lang w:val="en-US" w:eastAsia="zh-CN"/>
        </w:rPr>
        <w:t>0.53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1.92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新增退休人员的基础绩效奖金</w:t>
      </w:r>
      <w:r>
        <w:rPr>
          <w:rFonts w:hint="eastAsia" w:ascii="TimesNewRoman" w:hAnsi="TimesNewRoman" w:eastAsia="仿宋_GB2312" w:cs="TimesNewRoman"/>
          <w:kern w:val="0"/>
          <w:sz w:val="32"/>
          <w:szCs w:val="32"/>
        </w:rPr>
        <w:t>。</w:t>
      </w:r>
    </w:p>
    <w:p w14:paraId="49F2D922">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hint="eastAsia" w:ascii="TimesNewRoman" w:hAnsi="TimesNewRoman" w:eastAsia="仿宋_GB2312" w:cs="TimesNewRoman"/>
          <w:kern w:val="0"/>
          <w:sz w:val="32"/>
          <w:szCs w:val="32"/>
          <w:lang w:val="en-US" w:eastAsia="zh-CN"/>
        </w:rPr>
        <w:t>社会保障和就业支出（类）行政事业单位养老支出（款）机关事业单位基本养老保险缴费支出（项）2025年预算88.51万元，比2024年预算增加71.23万元，增长412.21%，增长原因主要是2024年城管执法体制改革，撤销市城管执支队，其中市城管支队46人转入市执法监督指挥中心，2025年预算新增的人员养老保险缴费支出。</w:t>
      </w:r>
    </w:p>
    <w:p w14:paraId="77C4E127">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社会保障和就业支出（类）行政事业单位养老支出（款）机关事业单位职业年金缴费支出（项）2025年预算44.26万元，比2024年预算增加35.62万元，增长412.27%，增长原因主要是2024年城管执法体制改革，撤销市城管执支队，其中市城管支队46人转入市执法监督指挥中心，2025年预算新增的单位缴职业年金缴费支出。</w:t>
      </w:r>
    </w:p>
    <w:p w14:paraId="6771D0B8">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社会保障和就业支出（类）其他社会保障和就业支出（款）其他社会保障和就业支出（项）2025年预算2.81万元，比2024年预算增加2.27万元，增长420.37%，增长原因主要是2024年城管执法体制改革，撤销市城管执支队，其中市城管支队46人转入市执法监督指挥中心，2025年预算新增其他社会保障缴费支出。</w:t>
      </w:r>
    </w:p>
    <w:p w14:paraId="52F61C25">
      <w:pPr>
        <w:adjustRightInd w:val="0"/>
        <w:snapToGrid w:val="0"/>
        <w:spacing w:line="600" w:lineRule="exact"/>
        <w:ind w:firstLine="643" w:firstLineChars="200"/>
        <w:rPr>
          <w:rFonts w:hint="eastAsia" w:ascii="TimesNewRoman" w:hAnsi="TimesNewRoman" w:eastAsia="仿宋_GB2312" w:cs="TimesNewRoman"/>
          <w:kern w:val="0"/>
          <w:sz w:val="32"/>
          <w:szCs w:val="32"/>
          <w:lang w:val="en-US" w:eastAsia="zh-CN"/>
        </w:rPr>
      </w:pPr>
      <w:r>
        <w:rPr>
          <w:rFonts w:hint="eastAsia" w:ascii="仿宋_GB2312" w:hAnsi="仿宋" w:eastAsia="仿宋_GB2312"/>
          <w:b/>
          <w:sz w:val="32"/>
          <w:szCs w:val="32"/>
          <w:lang w:val="en-US" w:eastAsia="zh-CN"/>
        </w:rPr>
        <w:t>5、</w:t>
      </w:r>
      <w:r>
        <w:rPr>
          <w:rFonts w:hint="eastAsia" w:ascii="TimesNewRoman" w:hAnsi="TimesNewRoman" w:eastAsia="仿宋_GB2312" w:cs="TimesNewRoman"/>
          <w:kern w:val="0"/>
          <w:sz w:val="32"/>
          <w:szCs w:val="32"/>
          <w:lang w:val="en-US" w:eastAsia="zh-CN"/>
        </w:rPr>
        <w:t>卫生健康支出（类）行政事业医疗支出（款）事业单位医疗（项）2025年预算28.93万元，比2024年预算增加22.47万元，增长347.83%，增长原因主要是2024年城管执法体制改革，撤销市城管执支队，其中市城管支队46人转入市执法监督指挥中心，2025年预算新增事业单位医疗保险支出。</w:t>
      </w:r>
    </w:p>
    <w:p w14:paraId="30CE8714">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kern w:val="0"/>
          <w:sz w:val="32"/>
          <w:szCs w:val="32"/>
          <w:lang w:val="en-US" w:eastAsia="zh-CN"/>
        </w:rPr>
        <w:t>6、卫</w:t>
      </w:r>
      <w:r>
        <w:rPr>
          <w:rFonts w:hint="eastAsia" w:ascii="TimesNewRoman" w:hAnsi="TimesNewRoman" w:eastAsia="仿宋_GB2312" w:cs="TimesNewRoman"/>
          <w:color w:val="auto"/>
          <w:kern w:val="0"/>
          <w:sz w:val="32"/>
          <w:szCs w:val="32"/>
          <w:lang w:val="en-US" w:eastAsia="zh-CN"/>
        </w:rPr>
        <w:t>生健</w:t>
      </w:r>
      <w:r>
        <w:rPr>
          <w:rFonts w:hint="eastAsia" w:ascii="TimesNewRoman" w:hAnsi="TimesNewRoman" w:eastAsia="仿宋_GB2312" w:cs="TimesNewRoman"/>
          <w:kern w:val="0"/>
          <w:sz w:val="32"/>
          <w:szCs w:val="32"/>
          <w:lang w:val="en-US" w:eastAsia="zh-CN"/>
        </w:rPr>
        <w:t>康支出（类）行政事业医疗支出（款）公务员医疗补助（项）2025年预算12.45万元，比2024年预算增加9.76万元，增长362.83%，增长原因主要是2024年城管执法体制改革，撤销市城管执支队，其中市城管支队46人转入市执法监督指挥中心，2025年预算新增公务员医疗补助支出。</w:t>
      </w:r>
    </w:p>
    <w:p w14:paraId="2BAFBE12">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城乡社区支出（类）城乡社区管理支出（款）其他城乡社区管理事务支出（项）2025年预算709.69万元，比2024年预算增加545.65万元，增长332.63%，增长原因主要是2024年城管执法体制改革，撤销市城管执支队，其中市城管支队46人转入市执法监督指挥中心，2025年预算新增人员工资支出。</w:t>
      </w:r>
    </w:p>
    <w:p w14:paraId="7B91315A">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81.52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增加64.16万元，增长369.58%，增长原因主要是2024年城管执法体制改革，撤销市城管执支队，其中市城管支队46人转入市执法监督指挥中心，2025年预算新增人员公积金支出。</w:t>
      </w:r>
    </w:p>
    <w:p w14:paraId="7B0988EA">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20.38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增加64.16万元，增长369.58%，增长原因主要是2024年城管执法体制改革，撤销市城管执支队，其中市城管支队46人转入市执法监督指挥中心，2025年预算新增人员提租补贴支出。</w:t>
      </w:r>
    </w:p>
    <w:p w14:paraId="07DEB69D">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33.97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增加26.73万元，增长369.20%，增长原因主要是2024年城管执法体制改革，撤销市城管执支队，其中市城管支队46人转入市执法监督指挥中心，2025年预算新增人员购房补贴支出。</w:t>
      </w:r>
    </w:p>
    <w:p w14:paraId="43C552CD">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952.44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882.84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69.60</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882.84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退休费、生活补助、对其他个人和家庭的补助支出。</w:t>
      </w:r>
    </w:p>
    <w:p w14:paraId="1C227E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69.60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物业管理费、差旅费、维修（护）费、租赁费、培训费、公务接待费、专用材料费、劳务费、委托业务费、公务用车运行维护费、其他交通费用、其他商品服务支出、办公设备购置等。</w:t>
      </w:r>
    </w:p>
    <w:p w14:paraId="3BEEF0D2">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4D495CF">
      <w:pPr>
        <w:pStyle w:val="9"/>
        <w:adjustRightInd w:val="0"/>
        <w:snapToGrid w:val="0"/>
        <w:spacing w:line="560" w:lineRule="exact"/>
        <w:ind w:firstLine="627" w:firstLineChars="196"/>
        <w:rPr>
          <w:rFonts w:ascii="TimesNewRoman" w:hAnsi="TimesNewRoman" w:eastAsia="仿宋_GB2312" w:cs="TimesNewRoman"/>
          <w:kern w:val="0"/>
          <w:sz w:val="32"/>
          <w:szCs w:val="32"/>
        </w:rPr>
      </w:pPr>
      <w:r>
        <w:rPr>
          <w:rFonts w:hint="eastAsia" w:ascii="TimesNewRoman" w:hAnsi="TimesNewRoman" w:eastAsia="黑体" w:cs="TimesNewRoman"/>
          <w:bCs/>
          <w:sz w:val="32"/>
          <w:szCs w:val="32"/>
        </w:rPr>
        <w:t>九、关于2025年项目支出表的说明</w:t>
      </w:r>
      <w:bookmarkStart w:id="0" w:name="_GoBack"/>
      <w:bookmarkEnd w:id="0"/>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70.61</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36.45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106.70</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新增监督指挥中心运行平台运行维护费</w:t>
      </w:r>
      <w:r>
        <w:rPr>
          <w:rFonts w:hint="eastAsia" w:ascii="TimesNewRoman" w:hAnsi="TimesNewRoman" w:eastAsia="仿宋_GB2312" w:cs="TimesNewRoman"/>
          <w:kern w:val="0"/>
          <w:sz w:val="32"/>
          <w:szCs w:val="32"/>
          <w:lang w:val="en-US" w:eastAsia="zh-CN"/>
        </w:rPr>
        <w:t>，二是新增市指挥中心办公楼运行维护费</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70.61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70.61</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3E91EA9">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AFB4D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7A6FB063">
      <w:pPr>
        <w:pStyle w:val="9"/>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2025年没有安排政府购买服务支出。</w:t>
      </w:r>
    </w:p>
    <w:p w14:paraId="172C4FFE">
      <w:pPr>
        <w:pStyle w:val="9"/>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9"/>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城市管理</w:t>
      </w:r>
      <w:r>
        <w:rPr>
          <w:rFonts w:hint="eastAsia" w:ascii="TimesNewRoman" w:hAnsi="TimesNewRoman" w:eastAsia="仿宋_GB2312" w:cs="TimesNewRoman"/>
          <w:kern w:val="0"/>
          <w:sz w:val="32"/>
          <w:szCs w:val="32"/>
          <w:lang w:eastAsia="zh-CN"/>
        </w:rPr>
        <w:t>执法监督指挥中心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8A81897">
      <w:pPr>
        <w:adjustRightInd w:val="0"/>
        <w:snapToGrid w:val="0"/>
        <w:spacing w:line="600" w:lineRule="exact"/>
        <w:ind w:firstLine="640" w:firstLineChars="200"/>
        <w:rPr>
          <w:rFonts w:hint="eastAsia" w:ascii="仿宋_GB2312" w:hAnsi="楷体" w:eastAsia="仿宋_GB2312"/>
          <w:b/>
          <w:sz w:val="32"/>
          <w:szCs w:val="32"/>
          <w:highlight w:val="none"/>
        </w:rPr>
      </w:pPr>
      <w:r>
        <w:rPr>
          <w:rFonts w:hint="eastAsia" w:ascii="TimesNewRoman" w:hAnsi="TimesNewRoman" w:eastAsia="仿宋_GB2312" w:cs="TimesNewRoman"/>
          <w:kern w:val="0"/>
          <w:sz w:val="32"/>
          <w:szCs w:val="32"/>
        </w:rPr>
        <w:t>1、</w:t>
      </w:r>
      <w:r>
        <w:rPr>
          <w:rFonts w:hint="eastAsia" w:ascii="仿宋_GB2312" w:hAnsi="楷体" w:eastAsia="仿宋_GB2312"/>
          <w:b/>
          <w:sz w:val="32"/>
          <w:szCs w:val="32"/>
          <w:highlight w:val="none"/>
        </w:rPr>
        <w:t>“</w:t>
      </w:r>
      <w:r>
        <w:rPr>
          <w:rFonts w:hint="eastAsia" w:ascii="仿宋_GB2312" w:hAnsi="楷体" w:eastAsia="仿宋_GB2312"/>
          <w:b/>
          <w:sz w:val="32"/>
          <w:szCs w:val="32"/>
          <w:highlight w:val="none"/>
          <w:lang w:eastAsia="zh-CN"/>
        </w:rPr>
        <w:t>监控中心运行维护费</w:t>
      </w:r>
      <w:r>
        <w:rPr>
          <w:rFonts w:hint="eastAsia" w:ascii="仿宋_GB2312" w:hAnsi="楷体" w:eastAsia="仿宋_GB2312"/>
          <w:b/>
          <w:sz w:val="32"/>
          <w:szCs w:val="32"/>
          <w:highlight w:val="none"/>
        </w:rPr>
        <w:t>”。</w:t>
      </w:r>
    </w:p>
    <w:p w14:paraId="1FDF2893">
      <w:pPr>
        <w:spacing w:line="540" w:lineRule="exact"/>
        <w:ind w:firstLine="627" w:firstLineChars="196"/>
        <w:rPr>
          <w:rFonts w:hint="eastAsia" w:ascii="楷体_GB2312" w:eastAsia="楷体_GB2312"/>
          <w:b/>
          <w:sz w:val="32"/>
          <w:szCs w:val="32"/>
          <w:highlight w:val="none"/>
        </w:rPr>
      </w:pPr>
      <w:r>
        <w:rPr>
          <w:rFonts w:hint="eastAsia" w:ascii="仿宋_GB2312" w:hAnsi="楷体" w:eastAsia="仿宋_GB2312"/>
          <w:sz w:val="32"/>
          <w:szCs w:val="32"/>
          <w:highlight w:val="none"/>
        </w:rPr>
        <w:t>（1）项目概述。数字城管是国家、省、市大力推进的项目工程，也是创建全国文明城市等各类创建、检查、考核必查的一项基础工作，更是推进城市管理信息化、智慧化、精细化和有效提升城市管理公共服务水平、展示城市形象的品牌工程。</w:t>
      </w:r>
    </w:p>
    <w:p w14:paraId="27EA1495">
      <w:pPr>
        <w:adjustRightInd w:val="0"/>
        <w:snapToGrid w:val="0"/>
        <w:spacing w:line="600" w:lineRule="exact"/>
        <w:rPr>
          <w:rFonts w:hint="eastAsia" w:ascii="仿宋" w:hAnsi="仿宋" w:eastAsia="仿宋"/>
          <w:sz w:val="32"/>
          <w:szCs w:val="32"/>
          <w:highlight w:val="none"/>
        </w:rPr>
      </w:pPr>
      <w:r>
        <w:rPr>
          <w:rFonts w:hint="eastAsia" w:ascii="仿宋_GB2312" w:hAnsi="楷体" w:eastAsia="仿宋_GB2312"/>
          <w:sz w:val="32"/>
          <w:szCs w:val="32"/>
          <w:highlight w:val="none"/>
        </w:rPr>
        <w:t>（2）立项依据。2006年7月5日淮北市精神文明建设指导委员会会议纪要第7期。</w:t>
      </w:r>
    </w:p>
    <w:p w14:paraId="42536584">
      <w:pPr>
        <w:adjustRightInd w:val="0"/>
        <w:snapToGrid w:val="0"/>
        <w:spacing w:line="600" w:lineRule="exact"/>
        <w:ind w:firstLine="640" w:firstLineChars="200"/>
        <w:rPr>
          <w:rFonts w:ascii="仿宋" w:hAnsi="仿宋" w:eastAsia="仿宋"/>
          <w:sz w:val="32"/>
          <w:szCs w:val="32"/>
          <w:highlight w:val="none"/>
        </w:rPr>
      </w:pPr>
      <w:r>
        <w:rPr>
          <w:rFonts w:hint="eastAsia" w:ascii="仿宋_GB2312" w:hAnsi="楷体" w:eastAsia="仿宋_GB2312"/>
          <w:sz w:val="32"/>
          <w:szCs w:val="32"/>
          <w:highlight w:val="none"/>
        </w:rPr>
        <w:t>（3）实施主体。</w:t>
      </w:r>
      <w:r>
        <w:rPr>
          <w:rFonts w:hint="eastAsia" w:ascii="仿宋_GB2312" w:hAnsi="楷体" w:eastAsia="仿宋_GB2312"/>
          <w:sz w:val="32"/>
          <w:szCs w:val="32"/>
          <w:highlight w:val="none"/>
          <w:lang w:eastAsia="zh-CN"/>
        </w:rPr>
        <w:t>淮北市城市管理执法监督指挥中心</w:t>
      </w:r>
      <w:r>
        <w:rPr>
          <w:rFonts w:hint="eastAsia" w:ascii="仿宋" w:hAnsi="仿宋" w:eastAsia="仿宋"/>
          <w:sz w:val="32"/>
          <w:szCs w:val="32"/>
          <w:highlight w:val="none"/>
        </w:rPr>
        <w:t>。</w:t>
      </w:r>
    </w:p>
    <w:p w14:paraId="006A3233">
      <w:pPr>
        <w:adjustRightInd w:val="0"/>
        <w:snapToGrid w:val="0"/>
        <w:spacing w:line="600" w:lineRule="exact"/>
        <w:ind w:firstLine="640" w:firstLineChars="200"/>
        <w:rPr>
          <w:rFonts w:hint="eastAsia" w:ascii="仿宋" w:hAnsi="仿宋" w:eastAsia="仿宋"/>
          <w:kern w:val="0"/>
          <w:sz w:val="32"/>
          <w:szCs w:val="32"/>
          <w:highlight w:val="none"/>
        </w:rPr>
      </w:pPr>
      <w:r>
        <w:rPr>
          <w:rFonts w:hint="eastAsia" w:ascii="仿宋_GB2312" w:hAnsi="楷体" w:eastAsia="仿宋_GB2312"/>
          <w:sz w:val="32"/>
          <w:szCs w:val="32"/>
          <w:highlight w:val="none"/>
        </w:rPr>
        <w:t>（4）起止时间。</w:t>
      </w:r>
      <w:r>
        <w:rPr>
          <w:rFonts w:hint="eastAsia" w:ascii="仿宋" w:hAnsi="仿宋" w:eastAsia="仿宋"/>
          <w:kern w:val="0"/>
          <w:sz w:val="32"/>
          <w:szCs w:val="32"/>
          <w:highlight w:val="none"/>
        </w:rPr>
        <w:t>202</w:t>
      </w:r>
      <w:r>
        <w:rPr>
          <w:rFonts w:hint="eastAsia" w:ascii="仿宋" w:hAnsi="仿宋" w:eastAsia="仿宋"/>
          <w:kern w:val="0"/>
          <w:sz w:val="32"/>
          <w:szCs w:val="32"/>
          <w:highlight w:val="none"/>
          <w:lang w:val="en-US" w:eastAsia="zh-CN"/>
        </w:rPr>
        <w:t>5</w:t>
      </w:r>
      <w:r>
        <w:rPr>
          <w:rFonts w:hint="eastAsia" w:ascii="仿宋" w:hAnsi="仿宋" w:eastAsia="仿宋"/>
          <w:kern w:val="0"/>
          <w:sz w:val="32"/>
          <w:szCs w:val="32"/>
          <w:highlight w:val="none"/>
        </w:rPr>
        <w:t>年</w:t>
      </w:r>
      <w:r>
        <w:rPr>
          <w:rFonts w:hint="eastAsia" w:ascii="仿宋" w:hAnsi="仿宋" w:eastAsia="仿宋"/>
          <w:kern w:val="0"/>
          <w:sz w:val="32"/>
          <w:szCs w:val="32"/>
          <w:highlight w:val="none"/>
          <w:lang w:val="en-US" w:eastAsia="zh-CN"/>
        </w:rPr>
        <w:t>1月</w:t>
      </w:r>
      <w:r>
        <w:rPr>
          <w:rFonts w:hint="eastAsia" w:ascii="仿宋" w:hAnsi="仿宋" w:eastAsia="仿宋"/>
          <w:kern w:val="0"/>
          <w:sz w:val="32"/>
          <w:szCs w:val="32"/>
          <w:highlight w:val="none"/>
        </w:rPr>
        <w:t>-20</w:t>
      </w:r>
      <w:r>
        <w:rPr>
          <w:rFonts w:hint="eastAsia" w:ascii="仿宋" w:hAnsi="仿宋" w:eastAsia="仿宋"/>
          <w:kern w:val="0"/>
          <w:sz w:val="32"/>
          <w:szCs w:val="32"/>
          <w:highlight w:val="none"/>
          <w:lang w:val="en-US" w:eastAsia="zh-CN"/>
        </w:rPr>
        <w:t>25</w:t>
      </w:r>
      <w:r>
        <w:rPr>
          <w:rFonts w:hint="eastAsia" w:ascii="仿宋" w:hAnsi="仿宋" w:eastAsia="仿宋"/>
          <w:kern w:val="0"/>
          <w:sz w:val="32"/>
          <w:szCs w:val="32"/>
          <w:highlight w:val="none"/>
        </w:rPr>
        <w:t>年</w:t>
      </w:r>
      <w:r>
        <w:rPr>
          <w:rFonts w:hint="eastAsia" w:ascii="仿宋" w:hAnsi="仿宋" w:eastAsia="仿宋"/>
          <w:kern w:val="0"/>
          <w:sz w:val="32"/>
          <w:szCs w:val="32"/>
          <w:highlight w:val="none"/>
          <w:lang w:val="en-US" w:eastAsia="zh-CN"/>
        </w:rPr>
        <w:t>12月</w:t>
      </w:r>
      <w:r>
        <w:rPr>
          <w:rFonts w:hint="eastAsia" w:ascii="仿宋" w:hAnsi="仿宋" w:eastAsia="仿宋"/>
          <w:kern w:val="0"/>
          <w:sz w:val="32"/>
          <w:szCs w:val="32"/>
          <w:highlight w:val="none"/>
        </w:rPr>
        <w:t>。</w:t>
      </w:r>
    </w:p>
    <w:p w14:paraId="31BA7C1A">
      <w:pPr>
        <w:adjustRightInd w:val="0"/>
        <w:snapToGrid w:val="0"/>
        <w:spacing w:line="600" w:lineRule="exact"/>
        <w:ind w:firstLine="640" w:firstLineChars="200"/>
        <w:rPr>
          <w:rFonts w:ascii="仿宋" w:hAnsi="仿宋" w:eastAsia="仿宋"/>
          <w:sz w:val="32"/>
          <w:szCs w:val="32"/>
          <w:highlight w:val="none"/>
        </w:rPr>
      </w:pPr>
      <w:r>
        <w:rPr>
          <w:rFonts w:hint="eastAsia" w:ascii="仿宋_GB2312" w:hAnsi="楷体" w:eastAsia="仿宋_GB2312"/>
          <w:sz w:val="32"/>
          <w:szCs w:val="32"/>
          <w:highlight w:val="none"/>
        </w:rPr>
        <w:t>（5）项目内容。负责协调做好城市管理数字化、智慧化、信息化的规划、建设、管理工作；制定相关工作标准、运行规范、规章制度；负责数字城管、智慧城管系统问题案件的受理、立案、派遣和处置情况的监督、考核、评价；负责数字城管系统的日常维护与管理</w:t>
      </w:r>
      <w:r>
        <w:rPr>
          <w:rFonts w:hint="eastAsia" w:ascii="仿宋" w:hAnsi="仿宋" w:eastAsia="仿宋"/>
          <w:sz w:val="32"/>
          <w:szCs w:val="32"/>
          <w:highlight w:val="none"/>
        </w:rPr>
        <w:t>。</w:t>
      </w:r>
    </w:p>
    <w:p w14:paraId="2A2C9014">
      <w:pPr>
        <w:adjustRightInd w:val="0"/>
        <w:snapToGrid w:val="0"/>
        <w:spacing w:line="600" w:lineRule="exact"/>
        <w:ind w:firstLine="640" w:firstLineChars="200"/>
        <w:rPr>
          <w:rFonts w:hint="eastAsia" w:ascii="仿宋_GB2312" w:hAnsi="楷体" w:eastAsia="仿宋_GB2312"/>
          <w:sz w:val="32"/>
          <w:szCs w:val="32"/>
          <w:highlight w:val="none"/>
        </w:rPr>
      </w:pPr>
      <w:r>
        <w:rPr>
          <w:rFonts w:hint="eastAsia" w:ascii="仿宋_GB2312" w:hAnsi="楷体" w:eastAsia="仿宋_GB2312"/>
          <w:sz w:val="32"/>
          <w:szCs w:val="32"/>
          <w:highlight w:val="none"/>
        </w:rPr>
        <w:t>（6）年度预算安排。</w:t>
      </w:r>
      <w:r>
        <w:rPr>
          <w:rFonts w:hint="eastAsia" w:ascii="仿宋_GB2312" w:hAnsi="楷体" w:eastAsia="仿宋_GB2312"/>
          <w:sz w:val="32"/>
          <w:szCs w:val="32"/>
          <w:highlight w:val="none"/>
          <w:lang w:val="en-US" w:eastAsia="zh-CN"/>
        </w:rPr>
        <w:t>54.31</w:t>
      </w:r>
      <w:r>
        <w:rPr>
          <w:rFonts w:hint="eastAsia" w:ascii="仿宋" w:hAnsi="仿宋" w:eastAsia="仿宋"/>
          <w:sz w:val="32"/>
          <w:szCs w:val="32"/>
          <w:highlight w:val="none"/>
        </w:rPr>
        <w:t>万元。</w:t>
      </w:r>
    </w:p>
    <w:p w14:paraId="54C81659">
      <w:pPr>
        <w:spacing w:line="540" w:lineRule="exact"/>
        <w:ind w:firstLine="627" w:firstLineChars="196"/>
        <w:rPr>
          <w:rFonts w:hint="eastAsia" w:ascii="仿宋_GB2312" w:hAnsi="仿宋" w:eastAsia="仿宋_GB2312" w:cs="仿宋"/>
          <w:bCs/>
          <w:kern w:val="0"/>
          <w:sz w:val="32"/>
          <w:szCs w:val="32"/>
          <w:highlight w:val="none"/>
          <w:lang w:val="en-US" w:eastAsia="zh-CN" w:bidi="ar-SA"/>
        </w:rPr>
      </w:pPr>
      <w:r>
        <w:rPr>
          <w:rFonts w:hint="eastAsia" w:ascii="仿宋_GB2312" w:hAnsi="楷体" w:eastAsia="仿宋_GB2312"/>
          <w:sz w:val="32"/>
          <w:szCs w:val="32"/>
          <w:highlight w:val="none"/>
        </w:rPr>
        <w:t>（7）绩效目标。监控中心运行和维护经费是落实国家、省、市工作部署，推进数字城管、智慧城管建设运行的前提和基础保障。</w:t>
      </w:r>
      <w:r>
        <w:rPr>
          <w:rFonts w:hint="eastAsia" w:ascii="仿宋_GB2312" w:hAnsi="楷体" w:eastAsia="仿宋_GB2312"/>
          <w:sz w:val="32"/>
          <w:szCs w:val="32"/>
          <w:highlight w:val="none"/>
          <w:lang w:val="en-US" w:eastAsia="zh-CN"/>
        </w:rPr>
        <w:t>通过</w:t>
      </w:r>
      <w:r>
        <w:rPr>
          <w:rFonts w:hint="eastAsia" w:ascii="仿宋_GB2312" w:hAnsi="仿宋" w:eastAsia="仿宋_GB2312" w:cs="仿宋"/>
          <w:bCs/>
          <w:kern w:val="0"/>
          <w:sz w:val="32"/>
          <w:szCs w:val="32"/>
          <w:highlight w:val="none"/>
          <w:lang w:val="en-US" w:eastAsia="zh-CN" w:bidi="ar-SA"/>
        </w:rPr>
        <w:t>建立奖励约束机制，推进数字化、智慧化在日常管理中的实践应用，切实提升智慧城管平台运行绩效，让智慧城管平台真正成为服务群众的便利载体、城市管理的智能参谋，努力解决好群众关心关注的身边热点难点问题，优化城市环境，不断提升城市精细化管理服务水平。</w:t>
      </w:r>
    </w:p>
    <w:tbl>
      <w:tblPr>
        <w:tblStyle w:val="11"/>
        <w:tblW w:w="9020" w:type="dxa"/>
        <w:tblInd w:w="93" w:type="dxa"/>
        <w:tblLayout w:type="fixed"/>
        <w:tblCellMar>
          <w:top w:w="0" w:type="dxa"/>
          <w:left w:w="108" w:type="dxa"/>
          <w:bottom w:w="0" w:type="dxa"/>
          <w:right w:w="108" w:type="dxa"/>
        </w:tblCellMar>
      </w:tblPr>
      <w:tblGrid>
        <w:gridCol w:w="416"/>
        <w:gridCol w:w="820"/>
        <w:gridCol w:w="940"/>
        <w:gridCol w:w="2000"/>
        <w:gridCol w:w="1599"/>
        <w:gridCol w:w="1981"/>
        <w:gridCol w:w="1264"/>
      </w:tblGrid>
      <w:tr w14:paraId="34ABA0DE">
        <w:tblPrEx>
          <w:tblCellMar>
            <w:top w:w="0" w:type="dxa"/>
            <w:left w:w="108" w:type="dxa"/>
            <w:bottom w:w="0" w:type="dxa"/>
            <w:right w:w="108" w:type="dxa"/>
          </w:tblCellMar>
        </w:tblPrEx>
        <w:trPr>
          <w:trHeight w:val="360" w:hRule="atLeast"/>
        </w:trPr>
        <w:tc>
          <w:tcPr>
            <w:tcW w:w="9020" w:type="dxa"/>
            <w:gridSpan w:val="7"/>
            <w:tcBorders>
              <w:top w:val="nil"/>
              <w:left w:val="nil"/>
              <w:bottom w:val="nil"/>
              <w:right w:val="nil"/>
            </w:tcBorders>
            <w:noWrap w:val="0"/>
            <w:vAlign w:val="center"/>
          </w:tcPr>
          <w:p w14:paraId="7ABDDDA5">
            <w:pPr>
              <w:rPr>
                <w:b/>
                <w:bCs/>
                <w:sz w:val="32"/>
                <w:szCs w:val="32"/>
                <w:highlight w:val="none"/>
              </w:rPr>
            </w:pPr>
          </w:p>
          <w:p w14:paraId="27F63A11">
            <w:pPr>
              <w:jc w:val="center"/>
              <w:rPr>
                <w:rFonts w:ascii="宋体" w:hAnsi="宋体" w:cs="宋体"/>
                <w:b/>
                <w:bCs/>
                <w:sz w:val="32"/>
                <w:szCs w:val="32"/>
                <w:highlight w:val="none"/>
              </w:rPr>
            </w:pPr>
            <w:r>
              <w:rPr>
                <w:rFonts w:hint="eastAsia"/>
                <w:b/>
                <w:bCs/>
                <w:sz w:val="32"/>
                <w:szCs w:val="32"/>
                <w:highlight w:val="none"/>
              </w:rPr>
              <w:t>项目支出绩效目标表</w:t>
            </w:r>
          </w:p>
        </w:tc>
      </w:tr>
      <w:tr w14:paraId="1A2EB33F">
        <w:tblPrEx>
          <w:tblCellMar>
            <w:top w:w="0" w:type="dxa"/>
            <w:left w:w="108" w:type="dxa"/>
            <w:bottom w:w="0" w:type="dxa"/>
            <w:right w:w="108" w:type="dxa"/>
          </w:tblCellMar>
        </w:tblPrEx>
        <w:trPr>
          <w:trHeight w:val="270" w:hRule="atLeast"/>
        </w:trPr>
        <w:tc>
          <w:tcPr>
            <w:tcW w:w="9020" w:type="dxa"/>
            <w:gridSpan w:val="7"/>
            <w:tcBorders>
              <w:top w:val="nil"/>
              <w:left w:val="nil"/>
              <w:bottom w:val="nil"/>
              <w:right w:val="nil"/>
            </w:tcBorders>
            <w:noWrap w:val="0"/>
            <w:vAlign w:val="center"/>
          </w:tcPr>
          <w:p w14:paraId="42AABE2C">
            <w:pPr>
              <w:jc w:val="center"/>
              <w:rPr>
                <w:rFonts w:ascii="宋体" w:hAnsi="宋体" w:cs="宋体"/>
                <w:sz w:val="20"/>
                <w:szCs w:val="20"/>
                <w:highlight w:val="none"/>
              </w:rPr>
            </w:pPr>
            <w:r>
              <w:rPr>
                <w:rFonts w:hint="eastAsia"/>
                <w:sz w:val="20"/>
                <w:szCs w:val="20"/>
                <w:highlight w:val="none"/>
              </w:rPr>
              <w:t>（202</w:t>
            </w:r>
            <w:r>
              <w:rPr>
                <w:rFonts w:hint="eastAsia"/>
                <w:sz w:val="20"/>
                <w:szCs w:val="20"/>
                <w:highlight w:val="none"/>
                <w:lang w:val="en-US" w:eastAsia="zh-CN"/>
              </w:rPr>
              <w:t>5</w:t>
            </w:r>
            <w:r>
              <w:rPr>
                <w:rFonts w:hint="eastAsia"/>
                <w:sz w:val="20"/>
                <w:szCs w:val="20"/>
                <w:highlight w:val="none"/>
              </w:rPr>
              <w:t>年度）</w:t>
            </w:r>
          </w:p>
        </w:tc>
      </w:tr>
      <w:tr w14:paraId="6D54FFB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B143771">
            <w:pPr>
              <w:jc w:val="center"/>
              <w:rPr>
                <w:rFonts w:ascii="宋体" w:hAnsi="宋体" w:cs="宋体"/>
                <w:color w:val="000000"/>
                <w:sz w:val="20"/>
                <w:szCs w:val="20"/>
                <w:highlight w:val="none"/>
              </w:rPr>
            </w:pPr>
            <w:r>
              <w:rPr>
                <w:rFonts w:hint="eastAsia"/>
                <w:color w:val="000000"/>
                <w:sz w:val="20"/>
                <w:szCs w:val="20"/>
                <w:highlight w:val="none"/>
              </w:rPr>
              <w:t>项目名称</w:t>
            </w:r>
          </w:p>
        </w:tc>
        <w:tc>
          <w:tcPr>
            <w:tcW w:w="7784" w:type="dxa"/>
            <w:gridSpan w:val="5"/>
            <w:tcBorders>
              <w:top w:val="single" w:color="auto" w:sz="4" w:space="0"/>
              <w:left w:val="nil"/>
              <w:bottom w:val="single" w:color="auto" w:sz="4" w:space="0"/>
              <w:right w:val="single" w:color="000000" w:sz="4" w:space="0"/>
            </w:tcBorders>
            <w:noWrap w:val="0"/>
            <w:vAlign w:val="center"/>
          </w:tcPr>
          <w:p w14:paraId="6C294ADB">
            <w:pPr>
              <w:jc w:val="both"/>
              <w:rPr>
                <w:rFonts w:hint="eastAsia" w:eastAsiaTheme="minorEastAsia"/>
                <w:color w:val="000000"/>
                <w:sz w:val="20"/>
                <w:szCs w:val="20"/>
                <w:highlight w:val="none"/>
                <w:lang w:val="en-US" w:eastAsia="zh-CN"/>
              </w:rPr>
            </w:pPr>
            <w:r>
              <w:rPr>
                <w:rFonts w:hint="eastAsia"/>
                <w:color w:val="000000"/>
                <w:sz w:val="20"/>
                <w:szCs w:val="20"/>
                <w:highlight w:val="none"/>
                <w:lang w:val="en-US" w:eastAsia="zh-CN"/>
              </w:rPr>
              <w:t>监控中心运行维护费</w:t>
            </w:r>
          </w:p>
        </w:tc>
      </w:tr>
      <w:tr w14:paraId="4E43ABD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D53773D">
            <w:pPr>
              <w:jc w:val="center"/>
              <w:rPr>
                <w:rFonts w:ascii="宋体" w:hAnsi="宋体" w:cs="宋体"/>
                <w:color w:val="000000"/>
                <w:sz w:val="20"/>
                <w:szCs w:val="20"/>
                <w:highlight w:val="none"/>
              </w:rPr>
            </w:pPr>
            <w:r>
              <w:rPr>
                <w:rFonts w:hint="eastAsia"/>
                <w:color w:val="000000"/>
                <w:sz w:val="20"/>
                <w:szCs w:val="20"/>
                <w:highlight w:val="none"/>
              </w:rPr>
              <w:t>实施单位</w:t>
            </w:r>
          </w:p>
        </w:tc>
        <w:tc>
          <w:tcPr>
            <w:tcW w:w="7784" w:type="dxa"/>
            <w:gridSpan w:val="5"/>
            <w:tcBorders>
              <w:top w:val="single" w:color="auto" w:sz="4" w:space="0"/>
              <w:left w:val="nil"/>
              <w:bottom w:val="single" w:color="auto" w:sz="4" w:space="0"/>
              <w:right w:val="single" w:color="auto" w:sz="4" w:space="0"/>
            </w:tcBorders>
            <w:noWrap w:val="0"/>
            <w:vAlign w:val="center"/>
          </w:tcPr>
          <w:p w14:paraId="67E6AD00">
            <w:pPr>
              <w:jc w:val="center"/>
              <w:rPr>
                <w:rFonts w:hint="eastAsia" w:ascii="宋体" w:hAnsi="宋体" w:cs="宋体" w:eastAsiaTheme="minorEastAsia"/>
                <w:color w:val="000000"/>
                <w:sz w:val="20"/>
                <w:szCs w:val="20"/>
                <w:highlight w:val="none"/>
                <w:lang w:eastAsia="zh-CN"/>
              </w:rPr>
            </w:pPr>
            <w:r>
              <w:rPr>
                <w:rFonts w:hint="eastAsia"/>
                <w:color w:val="000000"/>
                <w:sz w:val="20"/>
                <w:szCs w:val="20"/>
                <w:highlight w:val="none"/>
              </w:rPr>
              <w:t>　</w:t>
            </w:r>
            <w:r>
              <w:rPr>
                <w:rFonts w:hint="eastAsia"/>
                <w:color w:val="000000"/>
                <w:sz w:val="20"/>
                <w:szCs w:val="20"/>
                <w:highlight w:val="none"/>
                <w:lang w:eastAsia="zh-CN"/>
              </w:rPr>
              <w:t>淮北市城市管理执法监督指挥中心</w:t>
            </w:r>
          </w:p>
        </w:tc>
      </w:tr>
      <w:tr w14:paraId="064283B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58C772C">
            <w:pPr>
              <w:jc w:val="center"/>
              <w:rPr>
                <w:rFonts w:ascii="宋体" w:hAnsi="宋体" w:cs="宋体"/>
                <w:color w:val="000000"/>
                <w:sz w:val="20"/>
                <w:szCs w:val="20"/>
                <w:highlight w:val="none"/>
              </w:rPr>
            </w:pPr>
            <w:r>
              <w:rPr>
                <w:rFonts w:hint="eastAsia"/>
                <w:color w:val="000000"/>
                <w:sz w:val="20"/>
                <w:szCs w:val="20"/>
                <w:highlight w:val="none"/>
              </w:rPr>
              <w:t>项目属性</w:t>
            </w:r>
          </w:p>
        </w:tc>
        <w:tc>
          <w:tcPr>
            <w:tcW w:w="7784" w:type="dxa"/>
            <w:gridSpan w:val="5"/>
            <w:tcBorders>
              <w:top w:val="single" w:color="auto" w:sz="4" w:space="0"/>
              <w:left w:val="nil"/>
              <w:bottom w:val="single" w:color="auto" w:sz="4" w:space="0"/>
              <w:right w:val="single" w:color="auto" w:sz="4" w:space="0"/>
            </w:tcBorders>
            <w:noWrap w:val="0"/>
            <w:vAlign w:val="center"/>
          </w:tcPr>
          <w:p w14:paraId="2FE68226">
            <w:pPr>
              <w:jc w:val="center"/>
              <w:rPr>
                <w:color w:val="000000"/>
                <w:sz w:val="20"/>
                <w:szCs w:val="20"/>
                <w:highlight w:val="none"/>
              </w:rPr>
            </w:pPr>
            <w:r>
              <w:rPr>
                <w:rFonts w:hint="eastAsia"/>
                <w:color w:val="000000"/>
                <w:sz w:val="20"/>
                <w:szCs w:val="20"/>
                <w:highlight w:val="none"/>
              </w:rPr>
              <w:t>　常年项目</w:t>
            </w:r>
          </w:p>
        </w:tc>
      </w:tr>
      <w:tr w14:paraId="71551190">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59A07CF">
            <w:pPr>
              <w:jc w:val="center"/>
              <w:rPr>
                <w:rFonts w:ascii="宋体" w:hAnsi="宋体" w:cs="宋体"/>
                <w:sz w:val="20"/>
                <w:szCs w:val="20"/>
                <w:highlight w:val="none"/>
              </w:rPr>
            </w:pPr>
            <w:r>
              <w:rPr>
                <w:rFonts w:hint="eastAsia"/>
                <w:sz w:val="20"/>
                <w:szCs w:val="20"/>
                <w:highlight w:val="none"/>
              </w:rPr>
              <w:t>项目资金</w:t>
            </w:r>
            <w:r>
              <w:rPr>
                <w:rFonts w:hint="eastAsia"/>
                <w:sz w:val="20"/>
                <w:szCs w:val="20"/>
                <w:highlight w:val="none"/>
              </w:rPr>
              <w:br w:type="textWrapping"/>
            </w:r>
            <w:r>
              <w:rPr>
                <w:rFonts w:hint="eastAsia"/>
                <w:sz w:val="20"/>
                <w:szCs w:val="20"/>
                <w:highlight w:val="none"/>
              </w:rPr>
              <w:t>（万元）</w:t>
            </w:r>
          </w:p>
        </w:tc>
        <w:tc>
          <w:tcPr>
            <w:tcW w:w="2000" w:type="dxa"/>
            <w:tcBorders>
              <w:top w:val="nil"/>
              <w:left w:val="nil"/>
              <w:bottom w:val="single" w:color="auto" w:sz="4" w:space="0"/>
              <w:right w:val="single" w:color="auto" w:sz="4" w:space="0"/>
            </w:tcBorders>
            <w:noWrap w:val="0"/>
            <w:vAlign w:val="center"/>
          </w:tcPr>
          <w:p w14:paraId="2D396212">
            <w:pPr>
              <w:rPr>
                <w:rFonts w:ascii="宋体" w:hAnsi="宋体" w:cs="宋体"/>
                <w:sz w:val="20"/>
                <w:szCs w:val="20"/>
                <w:highlight w:val="none"/>
              </w:rPr>
            </w:pPr>
            <w:r>
              <w:rPr>
                <w:rFonts w:hint="eastAsia"/>
                <w:sz w:val="20"/>
                <w:szCs w:val="20"/>
                <w:highlight w:val="none"/>
              </w:rPr>
              <w:t xml:space="preserve"> 中期资金总额：</w:t>
            </w:r>
          </w:p>
        </w:tc>
        <w:tc>
          <w:tcPr>
            <w:tcW w:w="1599" w:type="dxa"/>
            <w:tcBorders>
              <w:top w:val="single" w:color="auto" w:sz="4" w:space="0"/>
              <w:left w:val="nil"/>
              <w:bottom w:val="single" w:color="auto" w:sz="4" w:space="0"/>
              <w:right w:val="single" w:color="auto" w:sz="4" w:space="0"/>
            </w:tcBorders>
            <w:noWrap w:val="0"/>
            <w:vAlign w:val="center"/>
          </w:tcPr>
          <w:p w14:paraId="35E727CD">
            <w:pPr>
              <w:jc w:val="center"/>
              <w:rPr>
                <w:rFonts w:hint="default" w:ascii="宋体" w:hAnsi="宋体" w:cs="宋体" w:eastAsiaTheme="minorEastAsia"/>
                <w:sz w:val="20"/>
                <w:szCs w:val="20"/>
                <w:highlight w:val="none"/>
                <w:lang w:val="en-US" w:eastAsia="zh-CN"/>
              </w:rPr>
            </w:pPr>
            <w:r>
              <w:rPr>
                <w:rFonts w:hint="eastAsia"/>
                <w:color w:val="000000"/>
                <w:sz w:val="20"/>
                <w:szCs w:val="20"/>
                <w:highlight w:val="none"/>
              </w:rPr>
              <w:t xml:space="preserve"> </w:t>
            </w:r>
            <w:r>
              <w:rPr>
                <w:rFonts w:hint="eastAsia"/>
                <w:color w:val="000000"/>
                <w:sz w:val="20"/>
                <w:szCs w:val="20"/>
                <w:highlight w:val="none"/>
                <w:lang w:val="en-US" w:eastAsia="zh-CN"/>
              </w:rPr>
              <w:t>54.31</w:t>
            </w:r>
          </w:p>
        </w:tc>
        <w:tc>
          <w:tcPr>
            <w:tcW w:w="1981" w:type="dxa"/>
            <w:tcBorders>
              <w:top w:val="single" w:color="auto" w:sz="4" w:space="0"/>
              <w:left w:val="nil"/>
              <w:bottom w:val="single" w:color="auto" w:sz="4" w:space="0"/>
              <w:right w:val="single" w:color="auto" w:sz="4" w:space="0"/>
            </w:tcBorders>
            <w:noWrap w:val="0"/>
            <w:vAlign w:val="center"/>
          </w:tcPr>
          <w:p w14:paraId="026D8946">
            <w:pPr>
              <w:rPr>
                <w:rFonts w:ascii="宋体" w:hAnsi="宋体" w:cs="宋体"/>
                <w:sz w:val="20"/>
                <w:szCs w:val="20"/>
                <w:highlight w:val="none"/>
              </w:rPr>
            </w:pPr>
            <w:r>
              <w:rPr>
                <w:rFonts w:hint="eastAsia"/>
                <w:sz w:val="20"/>
                <w:szCs w:val="20"/>
                <w:highlight w:val="none"/>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06377F6C">
            <w:pPr>
              <w:jc w:val="center"/>
              <w:rPr>
                <w:rFonts w:hint="default" w:eastAsia="宋体"/>
                <w:sz w:val="20"/>
                <w:szCs w:val="20"/>
                <w:highlight w:val="none"/>
                <w:lang w:val="en-US" w:eastAsia="zh-CN"/>
              </w:rPr>
            </w:pPr>
            <w:r>
              <w:rPr>
                <w:rFonts w:hint="eastAsia" w:eastAsia="宋体"/>
                <w:sz w:val="20"/>
                <w:szCs w:val="20"/>
                <w:highlight w:val="none"/>
                <w:lang w:val="en-US" w:eastAsia="zh-CN"/>
              </w:rPr>
              <w:t>54.31</w:t>
            </w:r>
          </w:p>
        </w:tc>
      </w:tr>
      <w:tr w14:paraId="3B982DA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0E2D078">
            <w:pPr>
              <w:rPr>
                <w:rFonts w:ascii="宋体" w:hAnsi="宋体" w:cs="宋体"/>
                <w:sz w:val="20"/>
                <w:szCs w:val="20"/>
                <w:highlight w:val="none"/>
              </w:rPr>
            </w:pPr>
          </w:p>
        </w:tc>
        <w:tc>
          <w:tcPr>
            <w:tcW w:w="2000" w:type="dxa"/>
            <w:tcBorders>
              <w:top w:val="nil"/>
              <w:left w:val="nil"/>
              <w:bottom w:val="single" w:color="auto" w:sz="4" w:space="0"/>
              <w:right w:val="single" w:color="auto" w:sz="4" w:space="0"/>
            </w:tcBorders>
            <w:noWrap w:val="0"/>
            <w:vAlign w:val="center"/>
          </w:tcPr>
          <w:p w14:paraId="602D3F51">
            <w:pPr>
              <w:rPr>
                <w:rFonts w:ascii="宋体" w:hAnsi="宋体" w:cs="宋体"/>
                <w:sz w:val="20"/>
                <w:szCs w:val="20"/>
                <w:highlight w:val="none"/>
              </w:rPr>
            </w:pPr>
            <w:r>
              <w:rPr>
                <w:rFonts w:hint="eastAsia"/>
                <w:sz w:val="20"/>
                <w:szCs w:val="20"/>
                <w:highlight w:val="none"/>
              </w:rPr>
              <w:t xml:space="preserve">   其中：财政拨款</w:t>
            </w:r>
          </w:p>
        </w:tc>
        <w:tc>
          <w:tcPr>
            <w:tcW w:w="1599" w:type="dxa"/>
            <w:tcBorders>
              <w:top w:val="single" w:color="auto" w:sz="4" w:space="0"/>
              <w:left w:val="nil"/>
              <w:bottom w:val="single" w:color="auto" w:sz="4" w:space="0"/>
              <w:right w:val="single" w:color="auto" w:sz="4" w:space="0"/>
            </w:tcBorders>
            <w:noWrap w:val="0"/>
            <w:vAlign w:val="center"/>
          </w:tcPr>
          <w:p w14:paraId="4FEDDE57">
            <w:pPr>
              <w:jc w:val="center"/>
              <w:rPr>
                <w:rFonts w:hint="default" w:eastAsiaTheme="minorEastAsia"/>
                <w:sz w:val="20"/>
                <w:szCs w:val="20"/>
                <w:highlight w:val="none"/>
                <w:lang w:val="en-US" w:eastAsia="zh-CN"/>
              </w:rPr>
            </w:pPr>
            <w:r>
              <w:rPr>
                <w:rFonts w:hint="eastAsia"/>
                <w:sz w:val="20"/>
                <w:szCs w:val="20"/>
                <w:highlight w:val="none"/>
              </w:rPr>
              <w:t>　</w:t>
            </w:r>
            <w:r>
              <w:rPr>
                <w:rFonts w:hint="eastAsia"/>
                <w:sz w:val="20"/>
                <w:szCs w:val="20"/>
                <w:highlight w:val="none"/>
                <w:lang w:val="en-US" w:eastAsia="zh-CN"/>
              </w:rPr>
              <w:t>54.31</w:t>
            </w:r>
          </w:p>
        </w:tc>
        <w:tc>
          <w:tcPr>
            <w:tcW w:w="1981" w:type="dxa"/>
            <w:tcBorders>
              <w:top w:val="single" w:color="auto" w:sz="4" w:space="0"/>
              <w:left w:val="nil"/>
              <w:bottom w:val="single" w:color="auto" w:sz="4" w:space="0"/>
              <w:right w:val="single" w:color="auto" w:sz="4" w:space="0"/>
            </w:tcBorders>
            <w:noWrap w:val="0"/>
            <w:vAlign w:val="center"/>
          </w:tcPr>
          <w:p w14:paraId="72AAD127">
            <w:pPr>
              <w:rPr>
                <w:rFonts w:ascii="宋体" w:hAnsi="宋体" w:cs="宋体"/>
                <w:sz w:val="20"/>
                <w:szCs w:val="20"/>
                <w:highlight w:val="none"/>
              </w:rPr>
            </w:pPr>
            <w:r>
              <w:rPr>
                <w:rFonts w:hint="eastAsia"/>
                <w:sz w:val="20"/>
                <w:szCs w:val="20"/>
                <w:highlight w:val="none"/>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1944C44C">
            <w:pPr>
              <w:jc w:val="center"/>
              <w:rPr>
                <w:rFonts w:hint="default" w:eastAsiaTheme="minorEastAsia"/>
                <w:sz w:val="20"/>
                <w:szCs w:val="20"/>
                <w:highlight w:val="none"/>
                <w:lang w:val="en-US" w:eastAsia="zh-CN"/>
              </w:rPr>
            </w:pPr>
            <w:r>
              <w:rPr>
                <w:rFonts w:hint="eastAsia"/>
                <w:sz w:val="20"/>
                <w:szCs w:val="20"/>
                <w:highlight w:val="none"/>
                <w:lang w:val="en-US" w:eastAsia="zh-CN"/>
              </w:rPr>
              <w:t>54.31</w:t>
            </w:r>
          </w:p>
        </w:tc>
      </w:tr>
      <w:tr w14:paraId="37DDFDA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15D3710">
            <w:pPr>
              <w:rPr>
                <w:rFonts w:ascii="宋体" w:hAnsi="宋体" w:cs="宋体"/>
                <w:sz w:val="20"/>
                <w:szCs w:val="20"/>
                <w:highlight w:val="none"/>
              </w:rPr>
            </w:pPr>
          </w:p>
        </w:tc>
        <w:tc>
          <w:tcPr>
            <w:tcW w:w="2000" w:type="dxa"/>
            <w:tcBorders>
              <w:top w:val="nil"/>
              <w:left w:val="nil"/>
              <w:bottom w:val="single" w:color="auto" w:sz="4" w:space="0"/>
              <w:right w:val="single" w:color="auto" w:sz="4" w:space="0"/>
            </w:tcBorders>
            <w:noWrap w:val="0"/>
            <w:vAlign w:val="center"/>
          </w:tcPr>
          <w:p w14:paraId="68371B83">
            <w:pPr>
              <w:rPr>
                <w:rFonts w:ascii="宋体" w:hAnsi="宋体" w:cs="宋体"/>
                <w:sz w:val="20"/>
                <w:szCs w:val="20"/>
                <w:highlight w:val="none"/>
              </w:rPr>
            </w:pPr>
            <w:r>
              <w:rPr>
                <w:rFonts w:hint="eastAsia"/>
                <w:sz w:val="20"/>
                <w:szCs w:val="20"/>
                <w:highlight w:val="none"/>
              </w:rPr>
              <w:t xml:space="preserve">        其他资金</w:t>
            </w:r>
          </w:p>
        </w:tc>
        <w:tc>
          <w:tcPr>
            <w:tcW w:w="1599" w:type="dxa"/>
            <w:tcBorders>
              <w:top w:val="single" w:color="auto" w:sz="4" w:space="0"/>
              <w:left w:val="nil"/>
              <w:bottom w:val="single" w:color="auto" w:sz="4" w:space="0"/>
              <w:right w:val="single" w:color="000000" w:sz="4" w:space="0"/>
            </w:tcBorders>
            <w:noWrap w:val="0"/>
            <w:vAlign w:val="center"/>
          </w:tcPr>
          <w:p w14:paraId="27440190">
            <w:pPr>
              <w:jc w:val="center"/>
              <w:rPr>
                <w:rFonts w:ascii="宋体" w:hAnsi="宋体" w:cs="宋体"/>
                <w:sz w:val="20"/>
                <w:szCs w:val="20"/>
                <w:highlight w:val="none"/>
              </w:rPr>
            </w:pPr>
            <w:r>
              <w:rPr>
                <w:rFonts w:hint="eastAsia"/>
                <w:sz w:val="20"/>
                <w:szCs w:val="20"/>
                <w:highlight w:val="none"/>
              </w:rPr>
              <w:t>　</w:t>
            </w:r>
          </w:p>
        </w:tc>
        <w:tc>
          <w:tcPr>
            <w:tcW w:w="1981" w:type="dxa"/>
            <w:tcBorders>
              <w:top w:val="single" w:color="auto" w:sz="4" w:space="0"/>
              <w:left w:val="nil"/>
              <w:bottom w:val="single" w:color="auto" w:sz="4" w:space="0"/>
              <w:right w:val="single" w:color="auto" w:sz="4" w:space="0"/>
            </w:tcBorders>
            <w:noWrap w:val="0"/>
            <w:vAlign w:val="center"/>
          </w:tcPr>
          <w:p w14:paraId="104C5373">
            <w:pPr>
              <w:rPr>
                <w:rFonts w:ascii="宋体" w:hAnsi="宋体" w:cs="宋体"/>
                <w:sz w:val="20"/>
                <w:szCs w:val="20"/>
                <w:highlight w:val="none"/>
              </w:rPr>
            </w:pPr>
            <w:r>
              <w:rPr>
                <w:rFonts w:hint="eastAsia"/>
                <w:sz w:val="20"/>
                <w:szCs w:val="20"/>
                <w:highlight w:val="none"/>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1192818A">
            <w:pPr>
              <w:jc w:val="center"/>
              <w:rPr>
                <w:rFonts w:ascii="宋体" w:hAnsi="宋体" w:cs="宋体"/>
                <w:sz w:val="20"/>
                <w:szCs w:val="20"/>
                <w:highlight w:val="none"/>
              </w:rPr>
            </w:pPr>
            <w:r>
              <w:rPr>
                <w:rFonts w:hint="eastAsia"/>
                <w:sz w:val="20"/>
                <w:szCs w:val="20"/>
                <w:highlight w:val="none"/>
              </w:rPr>
              <w:t>　</w:t>
            </w:r>
          </w:p>
        </w:tc>
      </w:tr>
      <w:tr w14:paraId="0A54349F">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5DB17AB">
            <w:pPr>
              <w:jc w:val="center"/>
              <w:rPr>
                <w:rFonts w:ascii="宋体" w:hAnsi="宋体" w:cs="宋体"/>
                <w:sz w:val="20"/>
                <w:szCs w:val="20"/>
                <w:highlight w:val="none"/>
              </w:rPr>
            </w:pPr>
            <w:r>
              <w:rPr>
                <w:rFonts w:hint="eastAsia"/>
                <w:sz w:val="20"/>
                <w:szCs w:val="20"/>
                <w:highlight w:val="none"/>
              </w:rPr>
              <w:t>总</w:t>
            </w:r>
            <w:r>
              <w:rPr>
                <w:rFonts w:hint="eastAsia"/>
                <w:sz w:val="20"/>
                <w:szCs w:val="20"/>
                <w:highlight w:val="none"/>
              </w:rPr>
              <w:br w:type="textWrapping"/>
            </w:r>
            <w:r>
              <w:rPr>
                <w:rFonts w:hint="eastAsia"/>
                <w:sz w:val="20"/>
                <w:szCs w:val="20"/>
                <w:highlight w:val="none"/>
              </w:rPr>
              <w:t>体</w:t>
            </w:r>
            <w:r>
              <w:rPr>
                <w:rFonts w:hint="eastAsia"/>
                <w:sz w:val="20"/>
                <w:szCs w:val="20"/>
                <w:highlight w:val="none"/>
              </w:rPr>
              <w:br w:type="textWrapping"/>
            </w:r>
            <w:r>
              <w:rPr>
                <w:rFonts w:hint="eastAsia"/>
                <w:sz w:val="20"/>
                <w:szCs w:val="20"/>
                <w:highlight w:val="none"/>
              </w:rPr>
              <w:t>目</w:t>
            </w:r>
            <w:r>
              <w:rPr>
                <w:rFonts w:hint="eastAsia"/>
                <w:sz w:val="20"/>
                <w:szCs w:val="20"/>
                <w:highlight w:val="none"/>
              </w:rPr>
              <w:br w:type="textWrapping"/>
            </w:r>
            <w:r>
              <w:rPr>
                <w:rFonts w:hint="eastAsia"/>
                <w:sz w:val="20"/>
                <w:szCs w:val="20"/>
                <w:highlight w:val="none"/>
              </w:rPr>
              <w:t>标</w:t>
            </w:r>
          </w:p>
        </w:tc>
        <w:tc>
          <w:tcPr>
            <w:tcW w:w="5359" w:type="dxa"/>
            <w:gridSpan w:val="4"/>
            <w:tcBorders>
              <w:top w:val="single" w:color="auto" w:sz="4" w:space="0"/>
              <w:left w:val="nil"/>
              <w:bottom w:val="single" w:color="auto" w:sz="4" w:space="0"/>
              <w:right w:val="nil"/>
            </w:tcBorders>
            <w:noWrap w:val="0"/>
            <w:vAlign w:val="center"/>
          </w:tcPr>
          <w:p w14:paraId="2E16BB2F">
            <w:pPr>
              <w:jc w:val="center"/>
              <w:rPr>
                <w:sz w:val="20"/>
                <w:szCs w:val="20"/>
                <w:highlight w:val="none"/>
              </w:rPr>
            </w:pPr>
            <w:r>
              <w:rPr>
                <w:rFonts w:hint="eastAsia"/>
                <w:sz w:val="20"/>
                <w:szCs w:val="20"/>
                <w:highlight w:val="none"/>
              </w:rPr>
              <w:t>总体目标</w:t>
            </w:r>
          </w:p>
        </w:tc>
        <w:tc>
          <w:tcPr>
            <w:tcW w:w="3245" w:type="dxa"/>
            <w:gridSpan w:val="2"/>
            <w:tcBorders>
              <w:top w:val="single" w:color="auto" w:sz="4" w:space="0"/>
              <w:left w:val="single" w:color="auto" w:sz="4" w:space="0"/>
              <w:bottom w:val="single" w:color="auto" w:sz="4" w:space="0"/>
              <w:right w:val="single" w:color="000000" w:sz="4" w:space="0"/>
            </w:tcBorders>
            <w:noWrap w:val="0"/>
            <w:vAlign w:val="center"/>
          </w:tcPr>
          <w:p w14:paraId="78E36F92">
            <w:pPr>
              <w:jc w:val="center"/>
              <w:rPr>
                <w:rFonts w:ascii="宋体" w:hAnsi="宋体" w:cs="宋体"/>
                <w:sz w:val="20"/>
                <w:szCs w:val="20"/>
                <w:highlight w:val="none"/>
              </w:rPr>
            </w:pPr>
            <w:r>
              <w:rPr>
                <w:rFonts w:hint="eastAsia"/>
                <w:sz w:val="20"/>
                <w:szCs w:val="20"/>
                <w:highlight w:val="none"/>
              </w:rPr>
              <w:t>年度目标</w:t>
            </w:r>
          </w:p>
        </w:tc>
      </w:tr>
      <w:tr w14:paraId="32659DEA">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E9D25B0">
            <w:pPr>
              <w:rPr>
                <w:rFonts w:ascii="宋体" w:hAnsi="宋体" w:cs="宋体"/>
                <w:sz w:val="20"/>
                <w:szCs w:val="20"/>
                <w:highlight w:val="none"/>
              </w:rPr>
            </w:pPr>
          </w:p>
        </w:tc>
        <w:tc>
          <w:tcPr>
            <w:tcW w:w="5359" w:type="dxa"/>
            <w:gridSpan w:val="4"/>
            <w:tcBorders>
              <w:top w:val="single" w:color="auto" w:sz="4" w:space="0"/>
              <w:left w:val="nil"/>
              <w:bottom w:val="single" w:color="auto" w:sz="4" w:space="0"/>
              <w:right w:val="nil"/>
            </w:tcBorders>
            <w:noWrap w:val="0"/>
            <w:vAlign w:val="top"/>
          </w:tcPr>
          <w:p w14:paraId="599D995C">
            <w:pPr>
              <w:rPr>
                <w:rFonts w:hint="eastAsia"/>
                <w:sz w:val="20"/>
                <w:szCs w:val="20"/>
                <w:highlight w:val="none"/>
              </w:rPr>
            </w:pPr>
            <w:r>
              <w:rPr>
                <w:rFonts w:hint="eastAsia"/>
                <w:sz w:val="20"/>
                <w:szCs w:val="20"/>
                <w:highlight w:val="none"/>
              </w:rPr>
              <w:t>保障城管管理执法监督指挥中心监控大厅正常工作运转；市容环境明显提升；群众满意度明显改善。</w:t>
            </w:r>
          </w:p>
          <w:p w14:paraId="19D0D237">
            <w:pPr>
              <w:rPr>
                <w:sz w:val="20"/>
                <w:szCs w:val="20"/>
                <w:highlight w:val="none"/>
              </w:rPr>
            </w:pPr>
          </w:p>
        </w:tc>
        <w:tc>
          <w:tcPr>
            <w:tcW w:w="3245" w:type="dxa"/>
            <w:gridSpan w:val="2"/>
            <w:tcBorders>
              <w:top w:val="single" w:color="auto" w:sz="4" w:space="0"/>
              <w:left w:val="single" w:color="auto" w:sz="4" w:space="0"/>
              <w:bottom w:val="single" w:color="auto" w:sz="4" w:space="0"/>
              <w:right w:val="single" w:color="000000" w:sz="4" w:space="0"/>
            </w:tcBorders>
            <w:noWrap w:val="0"/>
            <w:vAlign w:val="top"/>
          </w:tcPr>
          <w:p w14:paraId="0E5FDB7B">
            <w:pPr>
              <w:rPr>
                <w:rFonts w:hint="eastAsia"/>
                <w:sz w:val="20"/>
                <w:szCs w:val="20"/>
                <w:highlight w:val="none"/>
              </w:rPr>
            </w:pPr>
            <w:r>
              <w:rPr>
                <w:rFonts w:hint="eastAsia"/>
                <w:sz w:val="20"/>
                <w:szCs w:val="20"/>
                <w:highlight w:val="none"/>
              </w:rPr>
              <w:t>保障城管管理执法监督指挥中心监控大厅正常工作运转；市容环境明显提升；群众满意度明显改善。</w:t>
            </w:r>
          </w:p>
          <w:p w14:paraId="52A0D98A">
            <w:pPr>
              <w:rPr>
                <w:sz w:val="20"/>
                <w:szCs w:val="20"/>
                <w:highlight w:val="none"/>
              </w:rPr>
            </w:pPr>
          </w:p>
        </w:tc>
      </w:tr>
      <w:tr w14:paraId="50D6EA57">
        <w:tblPrEx>
          <w:tblCellMar>
            <w:top w:w="0" w:type="dxa"/>
            <w:left w:w="108" w:type="dxa"/>
            <w:bottom w:w="0" w:type="dxa"/>
            <w:right w:w="108" w:type="dxa"/>
          </w:tblCellMar>
        </w:tblPrEx>
        <w:trPr>
          <w:trHeight w:val="31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77F4362">
            <w:pPr>
              <w:rPr>
                <w:rFonts w:ascii="宋体" w:hAnsi="宋体" w:cs="宋体"/>
                <w:sz w:val="20"/>
                <w:szCs w:val="20"/>
                <w:highlight w:val="none"/>
              </w:rPr>
            </w:pPr>
          </w:p>
        </w:tc>
        <w:tc>
          <w:tcPr>
            <w:tcW w:w="820" w:type="dxa"/>
            <w:tcBorders>
              <w:top w:val="nil"/>
              <w:left w:val="single" w:color="auto" w:sz="4" w:space="0"/>
              <w:bottom w:val="single" w:color="auto" w:sz="4" w:space="0"/>
              <w:right w:val="single" w:color="auto" w:sz="4" w:space="0"/>
            </w:tcBorders>
            <w:noWrap w:val="0"/>
            <w:vAlign w:val="center"/>
          </w:tcPr>
          <w:p w14:paraId="57066D21">
            <w:pPr>
              <w:jc w:val="center"/>
              <w:rPr>
                <w:rFonts w:ascii="宋体" w:hAnsi="宋体" w:cs="宋体"/>
                <w:sz w:val="20"/>
                <w:szCs w:val="20"/>
                <w:highlight w:val="none"/>
              </w:rPr>
            </w:pPr>
            <w:r>
              <w:rPr>
                <w:rFonts w:hint="eastAsia"/>
                <w:sz w:val="20"/>
                <w:szCs w:val="20"/>
                <w:highlight w:val="none"/>
              </w:rPr>
              <w:t>效</w:t>
            </w:r>
            <w:r>
              <w:rPr>
                <w:rFonts w:hint="eastAsia"/>
                <w:sz w:val="20"/>
                <w:szCs w:val="20"/>
                <w:highlight w:val="none"/>
              </w:rPr>
              <w:br w:type="textWrapping"/>
            </w:r>
            <w:r>
              <w:rPr>
                <w:rFonts w:hint="eastAsia"/>
                <w:sz w:val="20"/>
                <w:szCs w:val="20"/>
                <w:highlight w:val="none"/>
              </w:rPr>
              <w:t>益</w:t>
            </w:r>
            <w:r>
              <w:rPr>
                <w:rFonts w:hint="eastAsia"/>
                <w:sz w:val="20"/>
                <w:szCs w:val="20"/>
                <w:highlight w:val="none"/>
              </w:rPr>
              <w:br w:type="textWrapping"/>
            </w:r>
            <w:r>
              <w:rPr>
                <w:rFonts w:hint="eastAsia"/>
                <w:sz w:val="20"/>
                <w:szCs w:val="20"/>
                <w:highlight w:val="none"/>
              </w:rPr>
              <w:t>指</w:t>
            </w:r>
            <w:r>
              <w:rPr>
                <w:rFonts w:hint="eastAsia"/>
                <w:sz w:val="20"/>
                <w:szCs w:val="20"/>
                <w:highlight w:val="none"/>
              </w:rPr>
              <w:br w:type="textWrapping"/>
            </w:r>
            <w:r>
              <w:rPr>
                <w:rFonts w:hint="eastAsia"/>
                <w:sz w:val="20"/>
                <w:szCs w:val="20"/>
                <w:highlight w:val="none"/>
              </w:rPr>
              <w:t>标</w:t>
            </w:r>
          </w:p>
        </w:tc>
        <w:tc>
          <w:tcPr>
            <w:tcW w:w="4539" w:type="dxa"/>
            <w:gridSpan w:val="3"/>
            <w:tcBorders>
              <w:top w:val="nil"/>
              <w:left w:val="single" w:color="auto" w:sz="4" w:space="0"/>
              <w:right w:val="single" w:color="auto" w:sz="4" w:space="0"/>
            </w:tcBorders>
            <w:noWrap w:val="0"/>
            <w:vAlign w:val="center"/>
          </w:tcPr>
          <w:p w14:paraId="4BD3F817">
            <w:pPr>
              <w:jc w:val="center"/>
              <w:rPr>
                <w:sz w:val="20"/>
                <w:szCs w:val="20"/>
                <w:highlight w:val="none"/>
              </w:rPr>
            </w:pPr>
            <w:r>
              <w:rPr>
                <w:rFonts w:hint="eastAsia"/>
                <w:sz w:val="20"/>
                <w:szCs w:val="20"/>
                <w:highlight w:val="none"/>
              </w:rPr>
              <w:t>市容秩序管理长效常态，城市管理水平整体提高</w:t>
            </w:r>
          </w:p>
        </w:tc>
        <w:tc>
          <w:tcPr>
            <w:tcW w:w="3245" w:type="dxa"/>
            <w:gridSpan w:val="2"/>
            <w:tcBorders>
              <w:top w:val="nil"/>
              <w:left w:val="single" w:color="auto" w:sz="4" w:space="0"/>
              <w:right w:val="single" w:color="auto" w:sz="4" w:space="0"/>
            </w:tcBorders>
            <w:noWrap w:val="0"/>
            <w:vAlign w:val="center"/>
          </w:tcPr>
          <w:p w14:paraId="72B107DD">
            <w:pPr>
              <w:rPr>
                <w:sz w:val="20"/>
                <w:szCs w:val="20"/>
                <w:highlight w:val="none"/>
              </w:rPr>
            </w:pPr>
            <w:r>
              <w:rPr>
                <w:rFonts w:hint="eastAsia"/>
                <w:sz w:val="20"/>
                <w:szCs w:val="20"/>
                <w:highlight w:val="none"/>
              </w:rPr>
              <w:t>市容秩序管理长效常态，城市管理水平整体提高</w:t>
            </w:r>
          </w:p>
        </w:tc>
      </w:tr>
      <w:tr w14:paraId="4CE50EAD">
        <w:tblPrEx>
          <w:tblCellMar>
            <w:top w:w="0" w:type="dxa"/>
            <w:left w:w="108" w:type="dxa"/>
            <w:bottom w:w="0" w:type="dxa"/>
            <w:right w:w="108" w:type="dxa"/>
          </w:tblCellMar>
        </w:tblPrEx>
        <w:trPr>
          <w:trHeight w:val="186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9C87F4B">
            <w:pPr>
              <w:rPr>
                <w:rFonts w:ascii="宋体" w:hAnsi="宋体" w:cs="宋体"/>
                <w:sz w:val="20"/>
                <w:szCs w:val="20"/>
                <w:highlight w:val="none"/>
              </w:rPr>
            </w:pPr>
          </w:p>
        </w:tc>
        <w:tc>
          <w:tcPr>
            <w:tcW w:w="820" w:type="dxa"/>
            <w:tcBorders>
              <w:top w:val="nil"/>
              <w:left w:val="single" w:color="auto" w:sz="4" w:space="0"/>
              <w:bottom w:val="single" w:color="000000" w:sz="4" w:space="0"/>
              <w:right w:val="single" w:color="auto" w:sz="4" w:space="0"/>
            </w:tcBorders>
            <w:noWrap w:val="0"/>
            <w:vAlign w:val="center"/>
          </w:tcPr>
          <w:p w14:paraId="4F45EC58">
            <w:pPr>
              <w:jc w:val="center"/>
              <w:rPr>
                <w:rFonts w:ascii="宋体" w:hAnsi="宋体" w:cs="宋体"/>
                <w:sz w:val="20"/>
                <w:szCs w:val="20"/>
                <w:highlight w:val="none"/>
              </w:rPr>
            </w:pPr>
            <w:r>
              <w:rPr>
                <w:rFonts w:hint="eastAsia"/>
                <w:sz w:val="20"/>
                <w:szCs w:val="20"/>
                <w:highlight w:val="none"/>
              </w:rPr>
              <w:t>满意度指标</w:t>
            </w:r>
          </w:p>
        </w:tc>
        <w:tc>
          <w:tcPr>
            <w:tcW w:w="4539" w:type="dxa"/>
            <w:gridSpan w:val="3"/>
            <w:tcBorders>
              <w:top w:val="nil"/>
              <w:left w:val="single" w:color="auto" w:sz="4" w:space="0"/>
              <w:right w:val="single" w:color="auto" w:sz="4" w:space="0"/>
            </w:tcBorders>
            <w:noWrap w:val="0"/>
            <w:vAlign w:val="center"/>
          </w:tcPr>
          <w:p w14:paraId="51CDD940">
            <w:pPr>
              <w:jc w:val="center"/>
              <w:rPr>
                <w:sz w:val="20"/>
                <w:szCs w:val="20"/>
                <w:highlight w:val="none"/>
              </w:rPr>
            </w:pPr>
            <w:r>
              <w:rPr>
                <w:rFonts w:hint="eastAsia"/>
                <w:sz w:val="20"/>
                <w:szCs w:val="20"/>
                <w:highlight w:val="none"/>
              </w:rPr>
              <w:t>服务对象满意度测评达到90%以上</w:t>
            </w:r>
          </w:p>
        </w:tc>
        <w:tc>
          <w:tcPr>
            <w:tcW w:w="3245" w:type="dxa"/>
            <w:gridSpan w:val="2"/>
            <w:tcBorders>
              <w:top w:val="nil"/>
              <w:left w:val="single" w:color="auto" w:sz="4" w:space="0"/>
              <w:right w:val="single" w:color="auto" w:sz="4" w:space="0"/>
            </w:tcBorders>
            <w:noWrap w:val="0"/>
            <w:vAlign w:val="center"/>
          </w:tcPr>
          <w:p w14:paraId="1F35DC55">
            <w:pPr>
              <w:rPr>
                <w:rFonts w:ascii="宋体" w:hAnsi="宋体" w:cs="宋体"/>
                <w:sz w:val="20"/>
                <w:szCs w:val="20"/>
                <w:highlight w:val="none"/>
              </w:rPr>
            </w:pPr>
            <w:r>
              <w:rPr>
                <w:rFonts w:hint="eastAsia"/>
                <w:sz w:val="20"/>
                <w:szCs w:val="20"/>
                <w:highlight w:val="none"/>
              </w:rPr>
              <w:t>服务对象满意度测评达到90%以上</w:t>
            </w:r>
          </w:p>
        </w:tc>
      </w:tr>
    </w:tbl>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47D88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2095D52">
      <w:pPr>
        <w:ind w:firstLine="720" w:firstLineChars="200"/>
        <w:rPr>
          <w:rFonts w:ascii="TimesNewRoman" w:hAnsi="TimesNewRoman" w:eastAsia="仿宋_GB2312" w:cs="TimesNewRoman"/>
          <w:kern w:val="0"/>
          <w:sz w:val="36"/>
          <w:szCs w:val="36"/>
        </w:rPr>
      </w:pPr>
      <w:r>
        <w:rPr>
          <w:rFonts w:hint="eastAsia" w:ascii="TimesNewRoman" w:hAnsi="TimesNewRoman" w:eastAsia="仿宋_GB2312" w:cs="TimesNewRoman"/>
          <w:kern w:val="0"/>
          <w:sz w:val="36"/>
          <w:szCs w:val="36"/>
        </w:rPr>
        <w:t>2025年</w:t>
      </w:r>
      <w:r>
        <w:rPr>
          <w:rFonts w:hint="eastAsia" w:ascii="TimesNewRoman" w:hAnsi="TimesNewRoman" w:eastAsia="仿宋_GB2312" w:cs="TimesNewRoman"/>
          <w:kern w:val="0"/>
          <w:sz w:val="36"/>
          <w:szCs w:val="36"/>
          <w:lang w:eastAsia="zh-CN"/>
        </w:rPr>
        <w:t>单位</w:t>
      </w:r>
      <w:r>
        <w:rPr>
          <w:rFonts w:hint="eastAsia" w:ascii="TimesNewRoman" w:hAnsi="TimesNewRoman" w:eastAsia="仿宋_GB2312" w:cs="TimesNewRoman"/>
          <w:kern w:val="0"/>
          <w:sz w:val="36"/>
          <w:szCs w:val="36"/>
        </w:rPr>
        <w:t>预算安排购置公务用车</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辆，购置费</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万元</w:t>
      </w:r>
      <w:r>
        <w:rPr>
          <w:rFonts w:hint="eastAsia" w:ascii="TimesNewRoman" w:hAnsi="TimesNewRoman" w:eastAsia="仿宋_GB2312" w:cs="TimesNewRoman"/>
          <w:kern w:val="0"/>
          <w:sz w:val="36"/>
          <w:szCs w:val="36"/>
          <w:lang w:eastAsia="zh-CN"/>
        </w:rPr>
        <w:t>；</w:t>
      </w:r>
      <w:r>
        <w:rPr>
          <w:rFonts w:hint="eastAsia" w:ascii="TimesNewRoman" w:hAnsi="TimesNewRoman" w:eastAsia="仿宋_GB2312" w:cs="TimesNewRoman"/>
          <w:kern w:val="0"/>
          <w:sz w:val="36"/>
          <w:szCs w:val="36"/>
        </w:rPr>
        <w:t>安排购置单价50万元以上的通用设备</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台，购置费</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万元；安排购置单价100万元以上专用设备</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台，购置费</w:t>
      </w:r>
      <w:r>
        <w:rPr>
          <w:rFonts w:hint="eastAsia" w:ascii="TimesNewRoman" w:hAnsi="TimesNewRoman" w:eastAsia="仿宋_GB2312" w:cs="TimesNewRoman"/>
          <w:kern w:val="0"/>
          <w:sz w:val="36"/>
          <w:szCs w:val="36"/>
          <w:lang w:val="en-US" w:eastAsia="zh-CN"/>
        </w:rPr>
        <w:t>0</w:t>
      </w:r>
      <w:r>
        <w:rPr>
          <w:rFonts w:hint="eastAsia" w:ascii="TimesNewRoman" w:hAnsi="TimesNewRoman" w:eastAsia="仿宋_GB2312" w:cs="TimesNewRoman"/>
          <w:kern w:val="0"/>
          <w:sz w:val="36"/>
          <w:szCs w:val="36"/>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E5FB0C3">
      <w:pPr>
        <w:ind w:firstLine="640" w:firstLineChars="200"/>
        <w:rPr>
          <w:rFonts w:ascii="TimesNewRoman" w:hAnsi="TimesNewRoman" w:eastAsia="黑体" w:cs="TimesNewRoman"/>
          <w:bCs/>
          <w:sz w:val="36"/>
          <w:szCs w:val="36"/>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城市管理执法监督指挥中心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70.61</w:t>
      </w:r>
      <w:r>
        <w:rPr>
          <w:rFonts w:hint="eastAsia" w:ascii="TimesNewRoman" w:hAnsi="TimesNewRoman" w:eastAsia="仿宋_GB2312" w:cs="TimesNewRoman"/>
          <w:kern w:val="0"/>
          <w:sz w:val="32"/>
          <w:szCs w:val="32"/>
        </w:rPr>
        <w:t>万元。</w:t>
      </w:r>
    </w:p>
    <w:p w14:paraId="435FF118">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DEA1B9A">
      <w:pPr>
        <w:pStyle w:val="9"/>
        <w:adjustRightInd w:val="0"/>
        <w:snapToGrid w:val="0"/>
        <w:spacing w:line="560" w:lineRule="exact"/>
        <w:ind w:firstLine="630"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r>
        <w:rPr>
          <w:rFonts w:hint="eastAsia" w:ascii="TimesNewRoman" w:hAnsi="TimesNewRoman" w:eastAsia="仿宋_GB2312" w:cs="TimesNewRoman"/>
          <w:sz w:val="32"/>
          <w:szCs w:val="32"/>
          <w:lang w:eastAsia="zh-CN"/>
        </w:rPr>
        <w:t>。</w:t>
      </w:r>
    </w:p>
    <w:p w14:paraId="0AA6802D">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二</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三</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为保障行政单位运行用于购买货物和服务的各项资金，包括办公及印刷费、邮电费、差旅费、福利费、日常维修费、一般设备购置费、办公用房水电费、办公用房物业管理费、公务用车运行维护费以及其他费用。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秀体简">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591D09"/>
    <w:rsid w:val="006546AF"/>
    <w:rsid w:val="00726D96"/>
    <w:rsid w:val="00740B10"/>
    <w:rsid w:val="007862C0"/>
    <w:rsid w:val="00861330"/>
    <w:rsid w:val="008F6D1A"/>
    <w:rsid w:val="009168AC"/>
    <w:rsid w:val="009A3CA3"/>
    <w:rsid w:val="00AE3242"/>
    <w:rsid w:val="00B468F1"/>
    <w:rsid w:val="00B964EC"/>
    <w:rsid w:val="00BD640A"/>
    <w:rsid w:val="00DB2A5C"/>
    <w:rsid w:val="00E907C4"/>
    <w:rsid w:val="00EC7755"/>
    <w:rsid w:val="00F45ECB"/>
    <w:rsid w:val="00F974AD"/>
    <w:rsid w:val="00FB5D55"/>
    <w:rsid w:val="0B11059C"/>
    <w:rsid w:val="0B9672F3"/>
    <w:rsid w:val="0CD9508F"/>
    <w:rsid w:val="0D5C71E6"/>
    <w:rsid w:val="0FC7194C"/>
    <w:rsid w:val="112D6A6E"/>
    <w:rsid w:val="139E75AB"/>
    <w:rsid w:val="15105635"/>
    <w:rsid w:val="169E4307"/>
    <w:rsid w:val="187763D3"/>
    <w:rsid w:val="1A2B0958"/>
    <w:rsid w:val="1A7D6CC7"/>
    <w:rsid w:val="1C534DE0"/>
    <w:rsid w:val="1CBF2475"/>
    <w:rsid w:val="1DF1762D"/>
    <w:rsid w:val="23E86FDD"/>
    <w:rsid w:val="25270BB7"/>
    <w:rsid w:val="254C5860"/>
    <w:rsid w:val="258774EC"/>
    <w:rsid w:val="25B44A02"/>
    <w:rsid w:val="27355E5E"/>
    <w:rsid w:val="2BAC0068"/>
    <w:rsid w:val="345435AA"/>
    <w:rsid w:val="359636E7"/>
    <w:rsid w:val="35BB5086"/>
    <w:rsid w:val="35CA751C"/>
    <w:rsid w:val="36E76F1F"/>
    <w:rsid w:val="36EA43E3"/>
    <w:rsid w:val="3884788F"/>
    <w:rsid w:val="39287AF9"/>
    <w:rsid w:val="39670675"/>
    <w:rsid w:val="3DF8573F"/>
    <w:rsid w:val="3E46434D"/>
    <w:rsid w:val="42162288"/>
    <w:rsid w:val="43BE45DA"/>
    <w:rsid w:val="47813ECF"/>
    <w:rsid w:val="4BFC24EE"/>
    <w:rsid w:val="4C83676C"/>
    <w:rsid w:val="4ECE0172"/>
    <w:rsid w:val="4EDD03B5"/>
    <w:rsid w:val="4FC16D3E"/>
    <w:rsid w:val="503B2279"/>
    <w:rsid w:val="56EA4752"/>
    <w:rsid w:val="56F973AA"/>
    <w:rsid w:val="57B91449"/>
    <w:rsid w:val="5A181C21"/>
    <w:rsid w:val="5A49078D"/>
    <w:rsid w:val="5A6951F3"/>
    <w:rsid w:val="5B1E2A58"/>
    <w:rsid w:val="5BE60934"/>
    <w:rsid w:val="5C4B0F63"/>
    <w:rsid w:val="5DAC21F6"/>
    <w:rsid w:val="5DEC4568"/>
    <w:rsid w:val="5E6B19B9"/>
    <w:rsid w:val="5F2632AE"/>
    <w:rsid w:val="623163EA"/>
    <w:rsid w:val="66D8562F"/>
    <w:rsid w:val="6E7A76E5"/>
    <w:rsid w:val="6E885915"/>
    <w:rsid w:val="70624A53"/>
    <w:rsid w:val="70C25205"/>
    <w:rsid w:val="71D34FE9"/>
    <w:rsid w:val="72CC0AE4"/>
    <w:rsid w:val="78D04C80"/>
    <w:rsid w:val="79BC4EE7"/>
    <w:rsid w:val="7AA15E8B"/>
    <w:rsid w:val="7BE94503"/>
    <w:rsid w:val="7CD849B5"/>
    <w:rsid w:val="7CEB4645"/>
    <w:rsid w:val="7D043D64"/>
    <w:rsid w:val="7EAC1382"/>
    <w:rsid w:val="7FBA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left="0" w:leftChars="0" w:firstLine="490" w:firstLineChars="175"/>
      <w:jc w:val="left"/>
    </w:pPr>
    <w:rPr>
      <w:rFonts w:ascii="Times New Roman" w:hAnsi="Times New Roman"/>
    </w:rPr>
  </w:style>
  <w:style w:type="paragraph" w:styleId="3">
    <w:name w:val="Body Text Indent"/>
    <w:basedOn w:val="1"/>
    <w:next w:val="1"/>
    <w:qFormat/>
    <w:uiPriority w:val="0"/>
    <w:pPr>
      <w:ind w:left="420" w:leftChars="200"/>
    </w:pPr>
    <w:rPr>
      <w:rFonts w:ascii="Calibri" w:hAnsi="Calibri" w:cs="Times New Roman"/>
    </w:rPr>
  </w:style>
  <w:style w:type="paragraph" w:styleId="4">
    <w:name w:val="Body Text"/>
    <w:basedOn w:val="1"/>
    <w:qFormat/>
    <w:uiPriority w:val="0"/>
    <w:pPr>
      <w:spacing w:after="120"/>
    </w:pPr>
  </w:style>
  <w:style w:type="paragraph" w:styleId="5">
    <w:name w:val="Block Text"/>
    <w:basedOn w:val="1"/>
    <w:qFormat/>
    <w:uiPriority w:val="0"/>
    <w:pPr>
      <w:spacing w:after="120" w:afterLines="0"/>
      <w:ind w:left="1440" w:leftChars="700" w:right="1440" w:rightChars="700"/>
    </w:pPr>
  </w:style>
  <w:style w:type="paragraph" w:styleId="6">
    <w:name w:val="Body Text Indent 2"/>
    <w:basedOn w:val="1"/>
    <w:qFormat/>
    <w:uiPriority w:val="0"/>
    <w:pPr>
      <w:ind w:firstLine="640" w:firstLineChars="200"/>
    </w:pPr>
    <w:rPr>
      <w:sz w:val="32"/>
      <w:szCs w:val="32"/>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qFormat/>
    <w:uiPriority w:val="0"/>
    <w:pPr>
      <w:ind w:firstLine="420" w:firstLineChars="100"/>
    </w:pPr>
  </w:style>
  <w:style w:type="character" w:styleId="13">
    <w:name w:val="page number"/>
    <w:basedOn w:val="12"/>
    <w:qFormat/>
    <w:uiPriority w:val="0"/>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8592</Words>
  <Characters>9656</Characters>
  <Lines>48</Lines>
  <Paragraphs>13</Paragraphs>
  <TotalTime>0</TotalTime>
  <ScaleCrop>false</ScaleCrop>
  <LinksUpToDate>false</LinksUpToDate>
  <CharactersWithSpaces>9826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WPS_1663545842</cp:lastModifiedBy>
  <dcterms:modified xsi:type="dcterms:W3CDTF">2025-02-17T08:47:05Z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eyJoZGlkIjoiMjA1ODhjNTZkM2M1YzAzODJiZGZlN2Y2YjY1ODM1YTYiLCJ1c2VySWQiOiIxNDE2MzQ5MTM5In0=</vt:lpwstr>
  </property>
  <property fmtid="{D5CDD505-2E9C-101B-9397-08002B2CF9AE}" pid="3" name="KSOProductBuildVer">
    <vt:lpwstr>2052-12.1.0.19770</vt:lpwstr>
  </property>
  <property fmtid="{D5CDD505-2E9C-101B-9397-08002B2CF9AE}" pid="4" name="ICV">
    <vt:lpwstr>EA8F26CB3E6946638B6B6B4728C642E4_12</vt:lpwstr>
  </property>
</Properties>
</file>