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E4BEA">
      <w:pPr>
        <w:pStyle w:val="4"/>
        <w:spacing w:before="54"/>
        <w:rPr>
          <w:rFonts w:hint="eastAsia" w:ascii="黑体" w:eastAsia="黑体"/>
          <w:lang w:val="en-US" w:eastAsia="zh-CN"/>
        </w:rPr>
      </w:pPr>
      <w:r>
        <w:rPr>
          <w:rFonts w:hint="eastAsia" w:ascii="黑体" w:eastAsia="黑体"/>
          <w:spacing w:val="-27"/>
        </w:rPr>
        <w:t xml:space="preserve">附件 </w:t>
      </w:r>
      <w:r>
        <w:rPr>
          <w:rFonts w:hint="eastAsia" w:ascii="黑体" w:eastAsia="黑体"/>
          <w:spacing w:val="-27"/>
          <w:lang w:val="en-US" w:eastAsia="zh-CN"/>
        </w:rPr>
        <w:t>6</w:t>
      </w:r>
    </w:p>
    <w:p w14:paraId="7972B764">
      <w:pPr>
        <w:pStyle w:val="4"/>
        <w:spacing w:before="1"/>
        <w:rPr>
          <w:rFonts w:ascii="黑体"/>
          <w:sz w:val="60"/>
        </w:rPr>
      </w:pPr>
    </w:p>
    <w:p w14:paraId="1E932D5F">
      <w:pPr>
        <w:pStyle w:val="4"/>
        <w:rPr>
          <w:rFonts w:ascii="PMingLiU"/>
          <w:sz w:val="52"/>
        </w:rPr>
      </w:pPr>
    </w:p>
    <w:p w14:paraId="75151ACE">
      <w:pPr>
        <w:pStyle w:val="4"/>
        <w:spacing w:before="13"/>
        <w:rPr>
          <w:rFonts w:ascii="PMingLiU"/>
          <w:sz w:val="33"/>
        </w:rPr>
      </w:pPr>
    </w:p>
    <w:p w14:paraId="4CE6C3BA">
      <w:pPr>
        <w:pStyle w:val="4"/>
        <w:spacing w:before="13"/>
        <w:rPr>
          <w:rFonts w:ascii="PMingLiU"/>
          <w:sz w:val="33"/>
        </w:rPr>
      </w:pPr>
    </w:p>
    <w:p w14:paraId="65F72F92">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115"/>
          <w:sz w:val="44"/>
          <w:szCs w:val="44"/>
          <w:lang w:eastAsia="zh-CN"/>
        </w:rPr>
        <w:t>公共自行车运行费（四期）</w:t>
      </w:r>
      <w:r>
        <w:rPr>
          <w:rFonts w:hint="eastAsia" w:ascii="方正小标宋简体" w:hAnsi="方正小标宋简体" w:eastAsia="方正小标宋简体" w:cs="方正小标宋简体"/>
          <w:w w:val="115"/>
          <w:sz w:val="44"/>
          <w:szCs w:val="44"/>
        </w:rPr>
        <w:t>项目支出绩效评价</w:t>
      </w:r>
      <w:r>
        <w:rPr>
          <w:rFonts w:hint="eastAsia" w:ascii="方正小标宋简体" w:hAnsi="方正小标宋简体" w:eastAsia="方正小标宋简体" w:cs="方正小标宋简体"/>
          <w:w w:val="115"/>
          <w:sz w:val="44"/>
          <w:szCs w:val="44"/>
          <w:lang w:eastAsia="zh-CN"/>
        </w:rPr>
        <w:t>报告</w:t>
      </w:r>
    </w:p>
    <w:p w14:paraId="4C22F63B">
      <w:pPr>
        <w:pStyle w:val="4"/>
        <w:rPr>
          <w:rFonts w:ascii="PMingLiU"/>
          <w:sz w:val="52"/>
        </w:rPr>
      </w:pPr>
    </w:p>
    <w:p w14:paraId="646C92F7">
      <w:pPr>
        <w:pStyle w:val="4"/>
        <w:rPr>
          <w:rFonts w:ascii="PMingLiU"/>
          <w:sz w:val="52"/>
        </w:rPr>
      </w:pPr>
    </w:p>
    <w:p w14:paraId="6EC6545F">
      <w:pPr>
        <w:pStyle w:val="4"/>
        <w:rPr>
          <w:rFonts w:ascii="PMingLiU"/>
          <w:sz w:val="52"/>
        </w:rPr>
      </w:pPr>
    </w:p>
    <w:p w14:paraId="09786244">
      <w:pPr>
        <w:pStyle w:val="4"/>
        <w:rPr>
          <w:rFonts w:ascii="PMingLiU"/>
          <w:sz w:val="52"/>
        </w:rPr>
      </w:pPr>
    </w:p>
    <w:p w14:paraId="299F1B4A">
      <w:pPr>
        <w:pStyle w:val="4"/>
        <w:rPr>
          <w:rFonts w:ascii="PMingLiU"/>
          <w:sz w:val="52"/>
        </w:rPr>
      </w:pPr>
    </w:p>
    <w:p w14:paraId="563E85B9">
      <w:pPr>
        <w:pStyle w:val="4"/>
        <w:rPr>
          <w:rFonts w:ascii="PMingLiU"/>
          <w:sz w:val="52"/>
        </w:rPr>
      </w:pPr>
    </w:p>
    <w:p w14:paraId="1FE3F29D">
      <w:pPr>
        <w:pStyle w:val="4"/>
        <w:rPr>
          <w:rFonts w:ascii="PMingLiU"/>
          <w:sz w:val="52"/>
        </w:rPr>
      </w:pPr>
    </w:p>
    <w:p w14:paraId="25626560">
      <w:pPr>
        <w:pStyle w:val="4"/>
        <w:spacing w:before="5"/>
        <w:rPr>
          <w:rFonts w:ascii="PMingLiU"/>
          <w:sz w:val="67"/>
        </w:rPr>
      </w:pPr>
    </w:p>
    <w:p w14:paraId="528ABE13">
      <w:pPr>
        <w:pStyle w:val="4"/>
        <w:ind w:left="62" w:right="1156"/>
        <w:jc w:val="center"/>
        <w:rPr>
          <w:rFonts w:hint="eastAsia" w:ascii="方正小标宋简体" w:hAnsi="方正小标宋简体" w:eastAsia="方正小标宋简体" w:cs="方正小标宋简体"/>
          <w:w w:val="115"/>
          <w:kern w:val="2"/>
          <w:sz w:val="44"/>
          <w:szCs w:val="44"/>
          <w:lang w:val="en-US" w:eastAsia="zh-CN" w:bidi="ar-SA"/>
        </w:rPr>
      </w:pPr>
      <w:r>
        <w:rPr>
          <w:rFonts w:hint="eastAsia" w:ascii="方正小标宋简体" w:hAnsi="方正小标宋简体" w:eastAsia="方正小标宋简体" w:cs="方正小标宋简体"/>
          <w:w w:val="115"/>
          <w:kern w:val="2"/>
          <w:sz w:val="44"/>
          <w:szCs w:val="44"/>
          <w:lang w:val="en-US" w:eastAsia="zh-CN" w:bidi="ar-SA"/>
        </w:rPr>
        <w:t>2023年4月</w:t>
      </w:r>
    </w:p>
    <w:p w14:paraId="1150B09D">
      <w:pPr>
        <w:spacing w:after="0"/>
        <w:jc w:val="center"/>
        <w:rPr>
          <w:rFonts w:hint="eastAsia" w:ascii="方正小标宋简体" w:hAnsi="方正小标宋简体" w:eastAsia="方正小标宋简体" w:cs="方正小标宋简体"/>
          <w:w w:val="115"/>
          <w:kern w:val="2"/>
          <w:sz w:val="44"/>
          <w:szCs w:val="44"/>
          <w:lang w:val="en-US" w:eastAsia="zh-CN" w:bidi="ar-SA"/>
        </w:rPr>
        <w:sectPr>
          <w:footerReference r:id="rId3" w:type="default"/>
          <w:type w:val="continuous"/>
          <w:pgSz w:w="11911" w:h="16838"/>
          <w:pgMar w:top="1582" w:right="1417" w:bottom="1582" w:left="1480" w:header="0" w:footer="1383" w:gutter="0"/>
          <w:cols w:space="0" w:num="1"/>
          <w:rtlGutter w:val="0"/>
          <w:docGrid w:linePitch="0" w:charSpace="0"/>
        </w:sectPr>
      </w:pPr>
    </w:p>
    <w:p w14:paraId="2E5BF3C2">
      <w:pPr>
        <w:pStyle w:val="4"/>
        <w:rPr>
          <w:rFonts w:ascii="楷体"/>
          <w:sz w:val="20"/>
        </w:rPr>
      </w:pPr>
    </w:p>
    <w:p w14:paraId="249A399F">
      <w:pPr>
        <w:pStyle w:val="4"/>
        <w:spacing w:before="10"/>
        <w:rPr>
          <w:rFonts w:ascii="楷体"/>
          <w:sz w:val="26"/>
        </w:rPr>
      </w:pPr>
    </w:p>
    <w:p w14:paraId="51782053">
      <w:pPr>
        <w:pStyle w:val="2"/>
        <w:tabs>
          <w:tab w:val="left" w:pos="880"/>
        </w:tabs>
        <w:spacing w:before="59"/>
        <w:ind w:right="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录</w:t>
      </w:r>
    </w:p>
    <w:p w14:paraId="76204F66">
      <w:pPr>
        <w:pStyle w:val="4"/>
        <w:rPr>
          <w:rFonts w:hint="eastAsia" w:ascii="方正小标宋简体" w:hAnsi="方正小标宋简体" w:eastAsia="方正小标宋简体" w:cs="方正小标宋简体"/>
          <w:sz w:val="44"/>
          <w:szCs w:val="44"/>
        </w:rPr>
      </w:pPr>
    </w:p>
    <w:p w14:paraId="5347F66B">
      <w:pPr>
        <w:tabs>
          <w:tab w:val="left" w:pos="880"/>
        </w:tabs>
        <w:spacing w:before="0"/>
        <w:ind w:left="0" w:right="2" w:firstLine="0"/>
        <w:jc w:val="center"/>
        <w:rPr>
          <w:rFonts w:hint="eastAsia" w:ascii="仿宋" w:hAnsi="仿宋" w:eastAsia="仿宋" w:cs="仿宋"/>
          <w:kern w:val="0"/>
          <w:sz w:val="32"/>
          <w:szCs w:val="32"/>
          <w:lang w:val="en-US" w:eastAsia="zh-CN" w:bidi="ar"/>
        </w:rPr>
      </w:pPr>
      <w:r>
        <w:rPr>
          <w:rFonts w:hint="eastAsia" w:ascii="方正小标宋简体" w:hAnsi="方正小标宋简体" w:eastAsia="方正小标宋简体" w:cs="方正小标宋简体"/>
          <w:sz w:val="44"/>
          <w:szCs w:val="44"/>
        </w:rPr>
        <w:t>摘</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要</w:t>
      </w:r>
    </w:p>
    <w:p w14:paraId="53708927">
      <w:pPr>
        <w:keepNext w:val="0"/>
        <w:keepLines w:val="0"/>
        <w:widowControl w:val="0"/>
        <w:suppressLineNumbers w:val="0"/>
        <w:spacing w:before="0" w:beforeAutospacing="0" w:after="0" w:afterAutospacing="0" w:line="580" w:lineRule="exact"/>
        <w:ind w:left="0" w:right="0" w:firstLine="627" w:firstLineChars="196"/>
        <w:jc w:val="both"/>
        <w:rPr>
          <w:rFonts w:hint="eastAsia" w:ascii="仿宋_GB2312" w:hAnsi="仿宋_GB2312" w:eastAsia="仿宋_GB2312" w:cs="仿宋_GB2312"/>
          <w:kern w:val="2"/>
          <w:sz w:val="32"/>
          <w:szCs w:val="32"/>
          <w:lang w:val="en-US" w:eastAsia="zh-CN" w:bidi="zh-CN"/>
        </w:rPr>
      </w:pPr>
      <w:r>
        <w:rPr>
          <w:rFonts w:hint="eastAsia" w:ascii="仿宋" w:hAnsi="仿宋" w:eastAsia="仿宋" w:cs="仿宋"/>
          <w:kern w:val="0"/>
          <w:sz w:val="32"/>
          <w:szCs w:val="32"/>
          <w:lang w:val="en-US" w:eastAsia="zh-CN" w:bidi="ar"/>
        </w:rPr>
        <w:t>淮北市坚持以习近平生态文明思想为指导，发展公共自行车公益惠民服务，成为城市公共交通系统的重要补充，形成较为完善的公益、低碳、绿色、环保公共交通出行网络。</w:t>
      </w:r>
      <w:r>
        <w:rPr>
          <w:rFonts w:hint="eastAsia" w:ascii="仿宋_GB2312" w:hAnsi="仿宋_GB2312" w:eastAsia="仿宋_GB2312" w:cs="仿宋_GB2312"/>
          <w:kern w:val="2"/>
          <w:sz w:val="32"/>
          <w:szCs w:val="32"/>
          <w:lang w:val="en-US" w:eastAsia="zh-CN" w:bidi="zh-CN"/>
        </w:rPr>
        <w:t>公共自行车运行费（四期）项目主要保障70个公共自行车站点、2500辆公共自行车公益惠民服务，充分发挥公共自行车环保、节能、便民、惠民、健身等特点，完善城区综合交通运输体系，促进公共自行车服务系统健康运行和绿色公共交通网络发展，推进节能减排、绿色出行，缓解城市交通压力，提升城市生活品质，助力生态文明建设。</w:t>
      </w:r>
    </w:p>
    <w:p w14:paraId="754A26CE">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Times New Roman"/>
          <w:sz w:val="32"/>
          <w:szCs w:val="32"/>
          <w:lang w:val="en-US" w:eastAsia="zh-CN" w:bidi="ar"/>
        </w:rPr>
      </w:pPr>
      <w:r>
        <w:rPr>
          <w:rFonts w:hint="eastAsia" w:ascii="仿宋" w:hAnsi="仿宋" w:eastAsia="仿宋" w:cs="仿宋"/>
          <w:kern w:val="0"/>
          <w:sz w:val="32"/>
          <w:szCs w:val="32"/>
          <w:lang w:val="en-US" w:eastAsia="zh-CN" w:bidi="ar"/>
        </w:rPr>
        <w:t>按照省、市政府要求，建设城市公共自行车服务系统，是一项实实在在的政府性公益性便民惠民民心工程，缓解交通拥堵，减少环境污染，推进节能减排，提高幸福指数，充分展示生态城市形象，受到全市上下热烈欢迎和普遍赞誉。</w:t>
      </w:r>
      <w:r>
        <w:rPr>
          <w:rFonts w:hint="eastAsia" w:ascii="仿宋_GB2312" w:hAnsi="仿宋_GB2312" w:eastAsia="仿宋_GB2312" w:cs="仿宋_GB2312"/>
          <w:kern w:val="2"/>
          <w:sz w:val="32"/>
          <w:szCs w:val="32"/>
          <w:lang w:val="en-US" w:eastAsia="zh-CN" w:bidi="zh-CN"/>
        </w:rPr>
        <w:t>年度运营公共</w:t>
      </w:r>
      <w:r>
        <w:rPr>
          <w:rFonts w:hint="eastAsia" w:ascii="仿宋_GB2312" w:hAnsi="宋体" w:eastAsia="仿宋_GB2312" w:cs="仿宋_GB2312"/>
          <w:color w:val="000000"/>
          <w:sz w:val="31"/>
          <w:szCs w:val="31"/>
          <w:lang w:val="en-US" w:eastAsia="zh-CN" w:bidi="ar"/>
        </w:rPr>
        <w:t>自行车任务与项目计划数相符，切实保障低碳绿色出行，缓解城镇交通拥堵，有效减少大气污染和能源消耗。</w:t>
      </w:r>
      <w:r>
        <w:rPr>
          <w:rFonts w:hint="default" w:ascii="仿宋_GB2312" w:hAnsi="宋体" w:eastAsia="仿宋_GB2312" w:cs="仿宋_GB2312"/>
          <w:color w:val="000000"/>
          <w:kern w:val="0"/>
          <w:sz w:val="31"/>
          <w:szCs w:val="31"/>
          <w:lang w:val="en-US" w:eastAsia="zh-CN" w:bidi="ar"/>
        </w:rPr>
        <w:t>项目的运行对简约适度与绿色低碳生活理念的提升、</w:t>
      </w:r>
      <w:r>
        <w:rPr>
          <w:rFonts w:hint="eastAsia" w:ascii="仿宋_GB2312" w:hAnsi="宋体" w:eastAsia="仿宋_GB2312" w:cs="仿宋_GB2312"/>
          <w:color w:val="000000"/>
          <w:kern w:val="0"/>
          <w:sz w:val="31"/>
          <w:szCs w:val="31"/>
          <w:lang w:val="en-US" w:eastAsia="zh-CN" w:bidi="ar"/>
        </w:rPr>
        <w:t>生态</w:t>
      </w:r>
      <w:r>
        <w:rPr>
          <w:rFonts w:hint="default" w:ascii="仿宋_GB2312" w:hAnsi="宋体" w:eastAsia="仿宋_GB2312" w:cs="仿宋_GB2312"/>
          <w:color w:val="000000"/>
          <w:kern w:val="0"/>
          <w:sz w:val="31"/>
          <w:szCs w:val="31"/>
          <w:lang w:val="en-US" w:eastAsia="zh-CN" w:bidi="ar"/>
        </w:rPr>
        <w:t>环保意识的增强起到了积极作用</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cs="Times New Roman"/>
          <w:sz w:val="32"/>
          <w:szCs w:val="32"/>
          <w:lang w:val="en-US" w:eastAsia="zh-CN" w:bidi="ar"/>
        </w:rPr>
        <w:t>取得了良好的经济效益、社会效益和生态效益，成为宣传贯彻习近平生态文明思想的重要载体、推进广泛形成绿色生产生活方式的生动实践、助力碳达峰和碳中和行动的积极举措、倡导简约适度与绿色低碳生活方式的丰富内容、解决城市交通短途接驳服务绿色出行的最佳选择，在便利绿色出行、畅享绿色生活、减轻环境污染、缓解交通压力、维护市容秩序、助力文明创建、促进全民健身、普惠民生福祉等方面发挥了积极作用。</w:t>
      </w:r>
    </w:p>
    <w:p w14:paraId="315A5E1B">
      <w:pPr>
        <w:keepNext w:val="0"/>
        <w:keepLines w:val="0"/>
        <w:widowControl w:val="0"/>
        <w:suppressLineNumbers w:val="0"/>
        <w:spacing w:before="0" w:beforeAutospacing="0" w:after="0" w:afterAutospacing="0" w:line="580" w:lineRule="exact"/>
        <w:ind w:left="0" w:right="0" w:firstLine="607" w:firstLineChars="196"/>
        <w:jc w:val="both"/>
        <w:rPr>
          <w:rFonts w:hint="eastAsia" w:ascii="仿宋" w:hAnsi="仿宋" w:eastAsia="仿宋" w:cs="宋体"/>
          <w:kern w:val="0"/>
          <w:sz w:val="32"/>
          <w:szCs w:val="32"/>
          <w:lang w:val="en-US" w:eastAsia="zh-CN" w:bidi="ar"/>
        </w:rPr>
      </w:pPr>
      <w:r>
        <w:rPr>
          <w:rFonts w:hint="default" w:ascii="仿宋_GB2312" w:hAnsi="宋体" w:eastAsia="仿宋_GB2312" w:cs="仿宋_GB2312"/>
          <w:color w:val="000000"/>
          <w:kern w:val="0"/>
          <w:sz w:val="31"/>
          <w:szCs w:val="31"/>
          <w:lang w:val="en-US" w:eastAsia="zh-CN" w:bidi="ar"/>
        </w:rPr>
        <w:t>项目运行在社会效益、经济效益、生态效益、可持续性影响</w:t>
      </w:r>
      <w:r>
        <w:rPr>
          <w:rFonts w:hint="eastAsia" w:ascii="仿宋_GB2312" w:hAnsi="宋体" w:eastAsia="仿宋_GB2312" w:cs="仿宋_GB2312"/>
          <w:color w:val="000000"/>
          <w:kern w:val="0"/>
          <w:sz w:val="31"/>
          <w:szCs w:val="31"/>
          <w:lang w:val="en-US" w:eastAsia="zh-CN" w:bidi="ar"/>
        </w:rPr>
        <w:t>方</w:t>
      </w:r>
      <w:r>
        <w:rPr>
          <w:rFonts w:hint="default" w:ascii="仿宋_GB2312" w:hAnsi="宋体" w:eastAsia="仿宋_GB2312" w:cs="仿宋_GB2312"/>
          <w:color w:val="000000"/>
          <w:kern w:val="0"/>
          <w:sz w:val="31"/>
          <w:szCs w:val="31"/>
          <w:lang w:val="en-US" w:eastAsia="zh-CN" w:bidi="ar"/>
        </w:rPr>
        <w:t>面产生了良好的效果。自行车出行已深度融入市民工作生活中，绿色节能环保出行理念有效提升，项目实施增加了就业岗位，对城市文明形象的提升起到了积极作用，项目总体满意度高。根据统计数据按照搭乘出租车</w:t>
      </w:r>
      <w:r>
        <w:rPr>
          <w:rFonts w:hint="eastAsia" w:ascii="仿宋_GB2312" w:hAnsi="宋体" w:eastAsia="仿宋_GB2312" w:cs="仿宋_GB2312"/>
          <w:color w:val="000000"/>
          <w:kern w:val="0"/>
          <w:sz w:val="31"/>
          <w:szCs w:val="31"/>
          <w:lang w:val="en-US" w:eastAsia="zh-CN" w:bidi="ar"/>
        </w:rPr>
        <w:t>等交通工具</w:t>
      </w:r>
      <w:r>
        <w:rPr>
          <w:rFonts w:hint="default" w:ascii="仿宋_GB2312" w:hAnsi="宋体" w:eastAsia="仿宋_GB2312" w:cs="仿宋_GB2312"/>
          <w:color w:val="000000"/>
          <w:kern w:val="0"/>
          <w:sz w:val="31"/>
          <w:szCs w:val="31"/>
          <w:lang w:val="en-US" w:eastAsia="zh-CN" w:bidi="ar"/>
        </w:rPr>
        <w:t>换算分析，</w:t>
      </w:r>
      <w:r>
        <w:rPr>
          <w:rFonts w:hint="eastAsia" w:ascii="仿宋" w:hAnsi="仿宋" w:eastAsia="仿宋" w:cs="Times New Roman"/>
          <w:sz w:val="32"/>
          <w:szCs w:val="32"/>
          <w:lang w:val="en-US" w:eastAsia="zh-CN" w:bidi="ar"/>
        </w:rPr>
        <w:t>每车每年可为市民节约出行成本0.43万元</w:t>
      </w:r>
      <w:r>
        <w:rPr>
          <w:rFonts w:hint="default" w:ascii="仿宋_GB2312" w:hAnsi="宋体" w:eastAsia="仿宋_GB2312" w:cs="仿宋_GB2312"/>
          <w:color w:val="000000"/>
          <w:kern w:val="0"/>
          <w:sz w:val="31"/>
          <w:szCs w:val="31"/>
          <w:lang w:val="en-US" w:eastAsia="zh-CN" w:bidi="ar"/>
        </w:rPr>
        <w:t>，效费比为2.</w:t>
      </w:r>
      <w:r>
        <w:rPr>
          <w:rFonts w:hint="eastAsia" w:ascii="仿宋_GB2312" w:hAnsi="宋体" w:eastAsia="仿宋_GB2312" w:cs="仿宋_GB2312"/>
          <w:color w:val="000000"/>
          <w:kern w:val="0"/>
          <w:sz w:val="31"/>
          <w:szCs w:val="31"/>
          <w:lang w:val="en-US" w:eastAsia="zh-CN" w:bidi="ar"/>
        </w:rPr>
        <w:t>4</w:t>
      </w:r>
      <w:r>
        <w:rPr>
          <w:rFonts w:hint="default" w:ascii="仿宋_GB2312" w:hAnsi="宋体" w:eastAsia="仿宋_GB2312" w:cs="仿宋_GB2312"/>
          <w:color w:val="000000"/>
          <w:kern w:val="0"/>
          <w:sz w:val="31"/>
          <w:szCs w:val="31"/>
          <w:lang w:val="en-US" w:eastAsia="zh-CN" w:bidi="ar"/>
        </w:rPr>
        <w:t>:1，产生了良好的经济效益。减少二氧化碳排放及碳排放效果明显，生态效益良好。项目已列入政府中长期规划，</w:t>
      </w:r>
      <w:r>
        <w:rPr>
          <w:rFonts w:hint="eastAsia" w:ascii="仿宋_GB2312" w:hAnsi="宋体" w:eastAsia="仿宋_GB2312" w:cs="仿宋_GB2312"/>
          <w:color w:val="000000"/>
          <w:kern w:val="0"/>
          <w:sz w:val="31"/>
          <w:szCs w:val="31"/>
          <w:lang w:val="en-US" w:eastAsia="zh-CN" w:bidi="ar"/>
        </w:rPr>
        <w:t>作为</w:t>
      </w:r>
      <w:r>
        <w:rPr>
          <w:rFonts w:hint="eastAsia" w:ascii="仿宋" w:hAnsi="仿宋" w:eastAsia="仿宋" w:cs="仿宋"/>
          <w:kern w:val="2"/>
          <w:sz w:val="32"/>
          <w:szCs w:val="32"/>
          <w:lang w:val="en-US" w:eastAsia="zh-CN" w:bidi="ar"/>
        </w:rPr>
        <w:t>贯彻落实习近平生态文明思想、响应党中央碳达峰与碳中和重大战略决策的积极行动，落实好《中共中央国务院关于完整准确全面贯彻新发展理念做好碳达峰碳中和工作的意见》提出的“加快形成绿色生产生活方式”“积极引导低碳出行”、国务院《2030年前碳达峰行动方案》要求的“积极引导公众选择绿色低碳交通方式”“推广绿色低碳生活方式”、中办国办《关于推动城乡建设绿色发展的意见》提出的“深入开展绿色出行创建行动，优化交通出行结构，鼓励公众选择公共交通、自行车和步行等出行方式”、</w:t>
      </w:r>
      <w:r>
        <w:rPr>
          <w:rFonts w:hint="eastAsia" w:ascii="仿宋" w:hAnsi="仿宋" w:eastAsia="仿宋" w:cs="仿宋"/>
          <w:kern w:val="0"/>
          <w:sz w:val="32"/>
          <w:szCs w:val="32"/>
          <w:lang w:val="en-US" w:eastAsia="zh-CN" w:bidi="ar"/>
        </w:rPr>
        <w:t>全国文明城市测评关于“倡导简约适度、绿色低碳的生活方式”的要求，</w:t>
      </w:r>
      <w:r>
        <w:rPr>
          <w:rFonts w:hint="default" w:ascii="仿宋_GB2312" w:hAnsi="宋体" w:eastAsia="仿宋_GB2312" w:cs="仿宋_GB2312"/>
          <w:color w:val="000000"/>
          <w:kern w:val="0"/>
          <w:sz w:val="31"/>
          <w:szCs w:val="31"/>
          <w:lang w:val="en-US" w:eastAsia="zh-CN" w:bidi="ar"/>
        </w:rPr>
        <w:t>项目后续运行及成效发挥可持续影响情况好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市民总体满意度</w:t>
      </w:r>
      <w:r>
        <w:rPr>
          <w:rFonts w:hint="eastAsia" w:ascii="仿宋_GB2312" w:hAnsi="宋体" w:eastAsia="仿宋_GB2312" w:cs="仿宋_GB2312"/>
          <w:color w:val="000000"/>
          <w:kern w:val="0"/>
          <w:sz w:val="31"/>
          <w:szCs w:val="31"/>
          <w:lang w:val="en-US" w:eastAsia="zh-CN" w:bidi="ar"/>
        </w:rPr>
        <w:t>高</w:t>
      </w:r>
      <w:r>
        <w:rPr>
          <w:rFonts w:hint="default" w:ascii="仿宋_GB2312" w:hAnsi="宋体" w:eastAsia="仿宋_GB2312" w:cs="仿宋_GB2312"/>
          <w:color w:val="000000"/>
          <w:kern w:val="0"/>
          <w:sz w:val="31"/>
          <w:szCs w:val="31"/>
          <w:lang w:val="en-US" w:eastAsia="zh-CN" w:bidi="ar"/>
        </w:rPr>
        <w:t>。</w:t>
      </w:r>
      <w:r>
        <w:rPr>
          <w:rFonts w:hint="eastAsia" w:ascii="仿宋" w:hAnsi="仿宋" w:eastAsia="仿宋" w:cs="仿宋"/>
          <w:kern w:val="0"/>
          <w:sz w:val="32"/>
          <w:szCs w:val="32"/>
          <w:lang w:val="en-US" w:eastAsia="zh-CN" w:bidi="ar"/>
        </w:rPr>
        <w:t>采用一卡式便携管理或扫码租车便可轻轻松松畅游全城</w:t>
      </w:r>
      <w:r>
        <w:rPr>
          <w:rFonts w:hint="eastAsia" w:ascii="仿宋" w:hAnsi="仿宋" w:eastAsia="仿宋" w:cs="仿宋"/>
          <w:kern w:val="2"/>
          <w:sz w:val="32"/>
          <w:szCs w:val="32"/>
          <w:lang w:val="en-US" w:eastAsia="zh-CN" w:bidi="ar"/>
        </w:rPr>
        <w:t>，进一步方便市民绿色出行。</w:t>
      </w:r>
      <w:r>
        <w:rPr>
          <w:rFonts w:hint="eastAsia" w:ascii="仿宋" w:hAnsi="仿宋" w:eastAsia="仿宋" w:cs="仿宋"/>
          <w:bCs/>
          <w:color w:val="000000"/>
          <w:kern w:val="2"/>
          <w:sz w:val="32"/>
          <w:szCs w:val="32"/>
          <w:lang w:val="en-US" w:eastAsia="zh-CN" w:bidi="ar"/>
        </w:rPr>
        <w:t>实行法定节假日6：00---20:00持卡租车</w:t>
      </w:r>
      <w:r>
        <w:rPr>
          <w:rFonts w:hint="eastAsia" w:ascii="仿宋" w:hAnsi="仿宋" w:eastAsia="仿宋" w:cs="仿宋"/>
          <w:kern w:val="0"/>
          <w:sz w:val="32"/>
          <w:szCs w:val="32"/>
          <w:lang w:val="en-US" w:eastAsia="zh-CN" w:bidi="ar"/>
        </w:rPr>
        <w:t>14小时</w:t>
      </w:r>
      <w:r>
        <w:rPr>
          <w:rFonts w:hint="eastAsia" w:ascii="仿宋" w:hAnsi="仿宋" w:eastAsia="仿宋" w:cs="仿宋"/>
          <w:bCs/>
          <w:color w:val="000000"/>
          <w:kern w:val="2"/>
          <w:sz w:val="32"/>
          <w:szCs w:val="32"/>
          <w:lang w:val="en-US" w:eastAsia="zh-CN" w:bidi="ar"/>
        </w:rPr>
        <w:t>免费骑行</w:t>
      </w:r>
      <w:r>
        <w:rPr>
          <w:rFonts w:hint="eastAsia" w:ascii="仿宋" w:hAnsi="仿宋" w:eastAsia="仿宋" w:cs="仿宋"/>
          <w:kern w:val="0"/>
          <w:sz w:val="32"/>
          <w:szCs w:val="32"/>
          <w:lang w:val="en-US" w:eastAsia="zh-CN" w:bidi="ar"/>
        </w:rPr>
        <w:t>、</w:t>
      </w:r>
      <w:r>
        <w:rPr>
          <w:rFonts w:hint="eastAsia" w:ascii="仿宋" w:hAnsi="仿宋" w:eastAsia="仿宋" w:cs="仿宋"/>
          <w:bCs/>
          <w:color w:val="000000"/>
          <w:kern w:val="2"/>
          <w:sz w:val="32"/>
          <w:szCs w:val="32"/>
          <w:lang w:val="en-US" w:eastAsia="zh-CN" w:bidi="ar"/>
        </w:rPr>
        <w:t>其他时间2小时免费骑行</w:t>
      </w:r>
      <w:r>
        <w:rPr>
          <w:rFonts w:hint="eastAsia" w:ascii="仿宋" w:hAnsi="仿宋" w:eastAsia="仿宋" w:cs="仿宋"/>
          <w:kern w:val="0"/>
          <w:sz w:val="32"/>
          <w:szCs w:val="32"/>
          <w:lang w:val="en-US" w:eastAsia="zh-CN" w:bidi="ar"/>
        </w:rPr>
        <w:t>、24小时通借通还的政策</w:t>
      </w:r>
      <w:r>
        <w:rPr>
          <w:rFonts w:hint="eastAsia" w:ascii="仿宋" w:hAnsi="仿宋" w:eastAsia="仿宋" w:cs="仿宋"/>
          <w:bCs/>
          <w:color w:val="000000"/>
          <w:kern w:val="2"/>
          <w:sz w:val="32"/>
          <w:szCs w:val="32"/>
          <w:lang w:val="en-US" w:eastAsia="zh-CN" w:bidi="ar"/>
        </w:rPr>
        <w:t>，助力绿色生活</w:t>
      </w:r>
      <w:r>
        <w:rPr>
          <w:rFonts w:hint="eastAsia" w:ascii="仿宋" w:hAnsi="仿宋" w:eastAsia="仿宋" w:cs="仿宋"/>
          <w:kern w:val="0"/>
          <w:sz w:val="32"/>
          <w:szCs w:val="32"/>
          <w:lang w:val="en-US" w:eastAsia="zh-CN" w:bidi="ar"/>
        </w:rPr>
        <w:t>，</w:t>
      </w:r>
      <w:r>
        <w:rPr>
          <w:rFonts w:hint="eastAsia" w:ascii="仿宋" w:hAnsi="仿宋" w:eastAsia="仿宋" w:cs="仿宋"/>
          <w:bCs/>
          <w:color w:val="000000"/>
          <w:kern w:val="2"/>
          <w:sz w:val="32"/>
          <w:szCs w:val="32"/>
          <w:lang w:val="en-US" w:eastAsia="zh-CN" w:bidi="ar"/>
        </w:rPr>
        <w:t>助推假日经济。同时，</w:t>
      </w:r>
      <w:r>
        <w:rPr>
          <w:rFonts w:hint="eastAsia" w:ascii="仿宋" w:hAnsi="仿宋" w:eastAsia="仿宋" w:cs="仿宋"/>
          <w:bCs/>
          <w:color w:val="000000"/>
          <w:kern w:val="0"/>
          <w:sz w:val="32"/>
          <w:szCs w:val="32"/>
          <w:lang w:val="en-US" w:eastAsia="zh-CN" w:bidi="ar"/>
        </w:rPr>
        <w:t>全面开通我</w:t>
      </w:r>
      <w:r>
        <w:rPr>
          <w:rFonts w:hint="eastAsia" w:ascii="仿宋" w:hAnsi="仿宋" w:eastAsia="仿宋" w:cs="仿宋"/>
          <w:kern w:val="2"/>
          <w:sz w:val="32"/>
          <w:szCs w:val="32"/>
          <w:lang w:val="en-US" w:eastAsia="zh-CN" w:bidi="ar"/>
        </w:rPr>
        <w:t>市社保卡在公共自行车租赁出行方面的应用，实现居民服务“一卡通”赋予借、还公共自行车的功能，</w:t>
      </w:r>
      <w:r>
        <w:rPr>
          <w:rFonts w:hint="eastAsia" w:ascii="仿宋" w:hAnsi="仿宋" w:eastAsia="仿宋" w:cs="仿宋"/>
          <w:kern w:val="0"/>
          <w:sz w:val="32"/>
          <w:szCs w:val="32"/>
          <w:lang w:val="en-US" w:eastAsia="zh-CN" w:bidi="ar"/>
        </w:rPr>
        <w:t>延行绿色、安全、低碳的环保节能理念</w:t>
      </w:r>
      <w:r>
        <w:rPr>
          <w:rFonts w:hint="eastAsia" w:ascii="仿宋" w:hAnsi="仿宋" w:eastAsia="仿宋" w:cs="仿宋"/>
          <w:bCs/>
          <w:color w:val="000000"/>
          <w:kern w:val="2"/>
          <w:sz w:val="32"/>
          <w:szCs w:val="32"/>
          <w:lang w:val="en-US" w:eastAsia="zh-CN" w:bidi="ar"/>
        </w:rPr>
        <w:t>，</w:t>
      </w:r>
      <w:r>
        <w:rPr>
          <w:rFonts w:hint="eastAsia" w:ascii="仿宋" w:hAnsi="仿宋" w:eastAsia="仿宋" w:cs="仿宋"/>
          <w:kern w:val="2"/>
          <w:sz w:val="32"/>
          <w:szCs w:val="32"/>
          <w:lang w:val="en-US" w:eastAsia="zh-CN" w:bidi="ar"/>
        </w:rPr>
        <w:t>更加方便广大市民绿色低碳出行</w:t>
      </w:r>
      <w:r>
        <w:rPr>
          <w:rFonts w:hint="eastAsia" w:ascii="仿宋" w:hAnsi="仿宋" w:eastAsia="仿宋" w:cs="仿宋"/>
          <w:bCs/>
          <w:color w:val="000000"/>
          <w:kern w:val="2"/>
          <w:sz w:val="32"/>
          <w:szCs w:val="32"/>
          <w:lang w:val="en-US" w:eastAsia="zh-CN" w:bidi="ar"/>
        </w:rPr>
        <w:t>。</w:t>
      </w:r>
      <w:r>
        <w:rPr>
          <w:rFonts w:hint="eastAsia" w:ascii="仿宋" w:hAnsi="仿宋" w:eastAsia="仿宋" w:cs="仿宋"/>
          <w:kern w:val="2"/>
          <w:sz w:val="32"/>
          <w:szCs w:val="32"/>
          <w:lang w:val="en-US" w:eastAsia="zh-CN" w:bidi="ar"/>
        </w:rPr>
        <w:t>在“淮北城市管理”微信公众号上线淮北市公共自行车站点地图，可供实时查询全市公共自行车站点位置信息、可借还公共自行车数量，让广大市民在租赁公共自行车骑行服务中能够实时掌握全市公共自行车服务站点基本情况，公共自行车公益服务再加码，</w:t>
      </w:r>
      <w:r>
        <w:rPr>
          <w:rFonts w:hint="eastAsia" w:ascii="仿宋" w:hAnsi="仿宋" w:eastAsia="仿宋" w:cs="宋体"/>
          <w:kern w:val="0"/>
          <w:sz w:val="32"/>
          <w:szCs w:val="32"/>
          <w:lang w:val="en-US" w:eastAsia="zh-CN" w:bidi="ar"/>
        </w:rPr>
        <w:t>让</w:t>
      </w:r>
      <w:r>
        <w:rPr>
          <w:rFonts w:hint="eastAsia" w:ascii="仿宋" w:hAnsi="仿宋" w:eastAsia="仿宋" w:cs="仿宋"/>
          <w:kern w:val="2"/>
          <w:sz w:val="32"/>
          <w:szCs w:val="32"/>
          <w:lang w:val="en-US" w:eastAsia="zh-CN" w:bidi="ar"/>
        </w:rPr>
        <w:t>骑行更</w:t>
      </w:r>
      <w:r>
        <w:rPr>
          <w:rFonts w:hint="eastAsia" w:ascii="仿宋" w:hAnsi="仿宋" w:eastAsia="仿宋" w:cs="宋体"/>
          <w:kern w:val="0"/>
          <w:sz w:val="32"/>
          <w:szCs w:val="32"/>
          <w:lang w:val="en-US" w:eastAsia="zh-CN" w:bidi="ar"/>
        </w:rPr>
        <w:t>轻松、服务</w:t>
      </w:r>
      <w:r>
        <w:rPr>
          <w:rFonts w:hint="eastAsia" w:ascii="仿宋" w:hAnsi="仿宋" w:eastAsia="仿宋" w:cs="仿宋"/>
          <w:kern w:val="2"/>
          <w:sz w:val="32"/>
          <w:szCs w:val="32"/>
          <w:lang w:val="en-US" w:eastAsia="zh-CN" w:bidi="ar"/>
        </w:rPr>
        <w:t>便利、市民更满意</w:t>
      </w:r>
      <w:r>
        <w:rPr>
          <w:rFonts w:hint="eastAsia" w:ascii="仿宋" w:hAnsi="仿宋" w:eastAsia="仿宋" w:cs="宋体"/>
          <w:kern w:val="0"/>
          <w:sz w:val="32"/>
          <w:szCs w:val="32"/>
          <w:lang w:val="en-US" w:eastAsia="zh-CN" w:bidi="ar"/>
        </w:rPr>
        <w:t>。</w:t>
      </w:r>
    </w:p>
    <w:p w14:paraId="670A702A">
      <w:pPr>
        <w:keepNext w:val="0"/>
        <w:keepLines w:val="0"/>
        <w:widowControl w:val="0"/>
        <w:suppressLineNumbers w:val="0"/>
        <w:spacing w:before="0" w:beforeAutospacing="0" w:after="0" w:afterAutospacing="0" w:line="580" w:lineRule="exact"/>
        <w:ind w:left="0" w:right="0" w:firstLine="627" w:firstLineChars="196"/>
        <w:jc w:val="both"/>
        <w:rPr>
          <w:rFonts w:hint="default" w:ascii="仿宋_GB2312" w:hAnsi="宋体" w:eastAsia="仿宋_GB2312" w:cs="仿宋_GB2312"/>
          <w:color w:val="000000"/>
          <w:kern w:val="0"/>
          <w:sz w:val="31"/>
          <w:szCs w:val="31"/>
          <w:lang w:val="en-US" w:eastAsia="zh-CN" w:bidi="ar"/>
        </w:rPr>
      </w:pPr>
      <w:r>
        <w:rPr>
          <w:rFonts w:hint="eastAsia" w:ascii="仿宋" w:hAnsi="仿宋" w:eastAsia="仿宋" w:cs="宋体"/>
          <w:kern w:val="0"/>
          <w:sz w:val="32"/>
          <w:szCs w:val="32"/>
          <w:lang w:val="zh-CN" w:eastAsia="zh-CN" w:bidi="ar"/>
        </w:rPr>
        <w:t>存在问题是：</w:t>
      </w:r>
      <w:r>
        <w:rPr>
          <w:rFonts w:hint="eastAsia" w:ascii="仿宋" w:hAnsi="仿宋" w:eastAsia="仿宋" w:cs="仿宋"/>
          <w:kern w:val="2"/>
          <w:sz w:val="32"/>
          <w:szCs w:val="32"/>
          <w:lang w:val="en-US" w:eastAsia="zh-CN" w:bidi="ar"/>
        </w:rPr>
        <w:t>随着城市规模扩大和市民需求增加，</w:t>
      </w:r>
      <w:r>
        <w:rPr>
          <w:rFonts w:hint="eastAsia" w:ascii="仿宋" w:hAnsi="仿宋" w:eastAsia="仿宋" w:cs="仿宋"/>
          <w:kern w:val="0"/>
          <w:sz w:val="32"/>
          <w:szCs w:val="32"/>
          <w:lang w:val="en-US" w:eastAsia="zh-CN" w:bidi="ar"/>
        </w:rPr>
        <w:t>需要及时在新城新区等公共自行车服务“空白区”布点建设，</w:t>
      </w:r>
      <w:r>
        <w:rPr>
          <w:rFonts w:hint="eastAsia" w:ascii="仿宋" w:hAnsi="仿宋" w:eastAsia="仿宋" w:cs="仿宋"/>
          <w:kern w:val="2"/>
          <w:sz w:val="32"/>
          <w:szCs w:val="32"/>
          <w:lang w:val="en-US" w:eastAsia="zh-CN" w:bidi="ar"/>
        </w:rPr>
        <w:t>进一步提高公共自行车服务的便利性和覆盖面；针对公共自行车系统超期服役、高位运行，车辆设备损耗严重、破旧老化的实际，及时更换新型公共自行车等设备，进一步提升市民骑行出行的安全性和舒适度；</w:t>
      </w:r>
      <w:r>
        <w:rPr>
          <w:rFonts w:hint="default" w:ascii="仿宋_GB2312" w:hAnsi="宋体" w:eastAsia="仿宋_GB2312" w:cs="仿宋_GB2312"/>
          <w:color w:val="000000"/>
          <w:kern w:val="0"/>
          <w:sz w:val="31"/>
          <w:szCs w:val="31"/>
          <w:lang w:val="en-US" w:eastAsia="zh-CN" w:bidi="ar"/>
        </w:rPr>
        <w:t>项目形成的资产未能入账并纳入固定资产管理范围，未能定期盘点；按照自行车协会指导意见，公共自行车运行5年应予报废，</w:t>
      </w:r>
      <w:r>
        <w:rPr>
          <w:rFonts w:hint="eastAsia" w:ascii="仿宋_GB2312" w:hAnsi="宋体" w:eastAsia="仿宋_GB2312" w:cs="仿宋_GB2312"/>
          <w:color w:val="000000"/>
          <w:kern w:val="0"/>
          <w:sz w:val="31"/>
          <w:szCs w:val="31"/>
          <w:lang w:val="en-US" w:eastAsia="zh-CN" w:bidi="ar"/>
        </w:rPr>
        <w:t>但未能落实</w:t>
      </w:r>
      <w:r>
        <w:rPr>
          <w:rFonts w:hint="default" w:ascii="仿宋_GB2312" w:hAnsi="宋体" w:eastAsia="仿宋_GB2312" w:cs="仿宋_GB2312"/>
          <w:color w:val="000000"/>
          <w:kern w:val="0"/>
          <w:sz w:val="31"/>
          <w:szCs w:val="31"/>
          <w:lang w:val="en-US" w:eastAsia="zh-CN" w:bidi="ar"/>
        </w:rPr>
        <w:t>。</w:t>
      </w:r>
    </w:p>
    <w:p w14:paraId="03EA4D07">
      <w:pPr>
        <w:keepNext w:val="0"/>
        <w:keepLines w:val="0"/>
        <w:widowControl w:val="0"/>
        <w:suppressLineNumbers w:val="0"/>
        <w:spacing w:before="0" w:beforeAutospacing="0" w:after="0" w:afterAutospacing="0" w:line="580" w:lineRule="exact"/>
        <w:ind w:left="0" w:right="0" w:firstLine="607" w:firstLineChars="196"/>
        <w:jc w:val="both"/>
        <w:rPr>
          <w:rFonts w:hint="default" w:ascii="黑体" w:hAnsi="仿宋_GB2312" w:eastAsia="黑体" w:cs="仿宋_GB2312"/>
          <w:kern w:val="2"/>
          <w:sz w:val="32"/>
          <w:szCs w:val="32"/>
          <w:lang w:val="en-US" w:eastAsia="zh-CN" w:bidi="zh-CN"/>
        </w:rPr>
      </w:pPr>
      <w:r>
        <w:rPr>
          <w:rFonts w:hint="eastAsia" w:ascii="仿宋_GB2312" w:hAnsi="宋体" w:eastAsia="仿宋_GB2312" w:cs="仿宋_GB2312"/>
          <w:color w:val="000000"/>
          <w:kern w:val="0"/>
          <w:sz w:val="31"/>
          <w:szCs w:val="31"/>
          <w:lang w:val="en-US" w:eastAsia="zh-CN" w:bidi="ar"/>
        </w:rPr>
        <w:t>有关建议是</w:t>
      </w:r>
      <w:r>
        <w:rPr>
          <w:rFonts w:hint="eastAsia" w:ascii="仿宋" w:hAnsi="仿宋" w:eastAsia="仿宋" w:cs="仿宋"/>
          <w:kern w:val="2"/>
          <w:sz w:val="32"/>
          <w:szCs w:val="32"/>
          <w:lang w:val="en-US" w:eastAsia="zh-CN" w:bidi="ar"/>
        </w:rPr>
        <w:t>：完善站点设置，围绕新城新区和新建游园公园、文化街区、公共场馆、机关单位、居民小区等城市公共区域，推进发展公共自行车新建项目，科学规划、优化布点公共自行车投放量，扩大公共自行车服务辐射范围；消除安全隐患，及时更新改造使用年限久、骑行体验差的公共自行车,更换升级新型公共自行车，确保公共自行车惠民服务安全优质高效；</w:t>
      </w:r>
      <w:r>
        <w:rPr>
          <w:rFonts w:hint="default" w:ascii="仿宋" w:hAnsi="仿宋" w:eastAsia="仿宋" w:cs="仿宋"/>
          <w:kern w:val="2"/>
          <w:sz w:val="32"/>
          <w:szCs w:val="32"/>
          <w:lang w:val="en-US" w:eastAsia="zh-CN" w:bidi="ar"/>
        </w:rPr>
        <w:t>强化资产管理</w:t>
      </w:r>
      <w:r>
        <w:rPr>
          <w:rFonts w:hint="eastAsia" w:ascii="仿宋" w:hAnsi="仿宋" w:eastAsia="仿宋" w:cs="仿宋"/>
          <w:kern w:val="2"/>
          <w:sz w:val="32"/>
          <w:szCs w:val="32"/>
          <w:lang w:val="en-US" w:eastAsia="zh-CN" w:bidi="ar"/>
        </w:rPr>
        <w:t>，</w:t>
      </w:r>
      <w:r>
        <w:rPr>
          <w:rFonts w:hint="default" w:ascii="仿宋" w:hAnsi="仿宋" w:eastAsia="仿宋" w:cs="仿宋"/>
          <w:kern w:val="2"/>
          <w:sz w:val="32"/>
          <w:szCs w:val="32"/>
          <w:lang w:val="en-US" w:eastAsia="zh-CN" w:bidi="ar"/>
        </w:rPr>
        <w:t>纳入固定资产管理范围，年度定期盘点，确保资产安全完整。</w:t>
      </w:r>
      <w:r>
        <w:rPr>
          <w:rFonts w:hint="default" w:ascii="仿宋_GB2312" w:hAnsi="宋体" w:eastAsia="仿宋_GB2312" w:cs="仿宋_GB2312"/>
          <w:color w:val="000000"/>
          <w:kern w:val="0"/>
          <w:sz w:val="31"/>
          <w:szCs w:val="31"/>
          <w:lang w:val="en-US" w:eastAsia="zh-CN" w:bidi="ar"/>
        </w:rPr>
        <w:t>建议财政预算优先安排更新车龄超过5年的老旧自行车，以改善公共自行车因老化造成的不适现状。</w:t>
      </w:r>
    </w:p>
    <w:p w14:paraId="0137559D">
      <w:pPr>
        <w:pStyle w:val="4"/>
        <w:spacing w:before="304" w:line="480" w:lineRule="auto"/>
        <w:ind w:left="106" w:right="46" w:firstLine="160"/>
      </w:pPr>
    </w:p>
    <w:p w14:paraId="1F0494DE">
      <w:pPr>
        <w:spacing w:after="0" w:line="480" w:lineRule="auto"/>
        <w:rPr>
          <w:rFonts w:hint="default" w:eastAsiaTheme="minorEastAsia"/>
          <w:lang w:val="en-US" w:eastAsia="zh-CN"/>
        </w:rPr>
      </w:pPr>
    </w:p>
    <w:p w14:paraId="399E8663">
      <w:pPr>
        <w:spacing w:after="0" w:line="480" w:lineRule="auto"/>
        <w:rPr>
          <w:rFonts w:hint="default" w:eastAsiaTheme="minorEastAsia"/>
          <w:lang w:val="en-US" w:eastAsia="zh-CN"/>
        </w:rPr>
        <w:sectPr>
          <w:pgSz w:w="11911" w:h="16838"/>
          <w:pgMar w:top="1582" w:right="1417" w:bottom="1582" w:left="1480" w:header="0" w:footer="1383" w:gutter="0"/>
          <w:cols w:space="0" w:num="1"/>
          <w:rtlGutter w:val="0"/>
          <w:docGrid w:linePitch="0" w:charSpace="0"/>
        </w:sectPr>
      </w:pPr>
      <w:r>
        <w:rPr>
          <w:rFonts w:hint="eastAsia"/>
          <w:lang w:val="en-US" w:eastAsia="zh-CN"/>
        </w:rPr>
        <w:t xml:space="preserve">      </w:t>
      </w:r>
    </w:p>
    <w:p w14:paraId="7B6CB9D0">
      <w:pPr>
        <w:pStyle w:val="4"/>
        <w:spacing w:before="4"/>
        <w:rPr>
          <w:sz w:val="19"/>
        </w:rPr>
      </w:pPr>
    </w:p>
    <w:p w14:paraId="07BD0F94">
      <w:pPr>
        <w:pStyle w:val="2"/>
        <w:spacing w:before="58"/>
        <w:ind w:right="5"/>
        <w:rPr>
          <w:rFonts w:ascii="PMingLiU"/>
          <w:sz w:val="44"/>
        </w:rPr>
      </w:pPr>
      <w:r>
        <w:rPr>
          <w:rFonts w:hint="eastAsia" w:ascii="方正小标宋简体" w:hAnsi="方正小标宋简体" w:eastAsia="方正小标宋简体" w:cs="方正小标宋简体"/>
        </w:rPr>
        <w:t>正文部分</w:t>
      </w:r>
    </w:p>
    <w:p w14:paraId="070EA5A6">
      <w:pPr>
        <w:pStyle w:val="4"/>
        <w:ind w:left="751"/>
        <w:rPr>
          <w:rFonts w:hint="eastAsia" w:ascii="黑体" w:eastAsia="黑体"/>
        </w:rPr>
      </w:pPr>
      <w:r>
        <w:rPr>
          <w:rFonts w:hint="eastAsia" w:ascii="黑体" w:eastAsia="黑体"/>
        </w:rPr>
        <w:t>一、项目基本情况</w:t>
      </w:r>
    </w:p>
    <w:p w14:paraId="77E466CE">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_GB2312" w:eastAsia="仿宋_GB2312" w:cs="仿宋_GB2312"/>
          <w:kern w:val="2"/>
          <w:sz w:val="32"/>
          <w:szCs w:val="32"/>
          <w:lang w:val="en-US" w:eastAsia="zh-CN" w:bidi="zh-CN"/>
        </w:rPr>
      </w:pPr>
      <w:r>
        <w:rPr>
          <w:rFonts w:ascii="仿宋_GB2312" w:hAnsi="仿宋_GB2312" w:eastAsia="仿宋_GB2312" w:cs="仿宋_GB2312"/>
          <w:kern w:val="2"/>
          <w:sz w:val="32"/>
          <w:szCs w:val="32"/>
          <w:lang w:val="zh-CN" w:eastAsia="zh-CN" w:bidi="zh-CN"/>
        </w:rPr>
        <w:t>（一）项目概况。</w:t>
      </w:r>
      <w:r>
        <w:rPr>
          <w:rFonts w:hint="eastAsia" w:ascii="仿宋_GB2312" w:hAnsi="仿宋_GB2312" w:eastAsia="仿宋_GB2312" w:cs="仿宋_GB2312"/>
          <w:kern w:val="2"/>
          <w:sz w:val="32"/>
          <w:szCs w:val="32"/>
          <w:lang w:val="en-US" w:eastAsia="zh-CN" w:bidi="zh-CN"/>
        </w:rPr>
        <w:t>公共自行车运行费（四期）项目主要保障70个公共自行车站点、2500辆公共自行车公益惠民服务。年初预算数448.42万元，实际完成数444.98万元。充分发挥公共自行车环保、节能、便民、惠民、健身等特点，完善城区综合交通运输体系，促进公共自行车服务系统健康运行和绿色公共交通网络发展，推进节能减排、绿色出行，缓解城市交通压力，提升城市生活品质，助力生态文明建设。</w:t>
      </w:r>
    </w:p>
    <w:p w14:paraId="050AAE4B">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color w:val="000000"/>
          <w:sz w:val="31"/>
          <w:szCs w:val="31"/>
          <w:lang w:val="en-US" w:eastAsia="zh-CN" w:bidi="ar"/>
        </w:rPr>
      </w:pPr>
      <w:r>
        <w:rPr>
          <w:rFonts w:hint="eastAsia" w:ascii="仿宋_GB2312" w:hAnsi="仿宋_GB2312" w:eastAsia="仿宋_GB2312" w:cs="仿宋_GB2312"/>
          <w:kern w:val="2"/>
          <w:sz w:val="32"/>
          <w:szCs w:val="32"/>
          <w:lang w:val="en-US" w:eastAsia="zh-CN" w:bidi="zh-CN"/>
        </w:rPr>
        <w:t>（二）项目绩效目标。</w:t>
      </w:r>
      <w:r>
        <w:rPr>
          <w:rFonts w:hint="eastAsia" w:ascii="仿宋" w:hAnsi="仿宋" w:eastAsia="仿宋" w:cs="仿宋"/>
          <w:kern w:val="0"/>
          <w:sz w:val="32"/>
          <w:szCs w:val="32"/>
          <w:lang w:val="en-US" w:eastAsia="zh-CN" w:bidi="ar"/>
        </w:rPr>
        <w:t>按照省、市政府要求，建设城市公共自行车服务系统，是一项实实在在的政府性公益性便民惠民民心工程，缓解交通拥堵，减少环境污染，推进节能减排，提高幸福指数，充分展示生态城市形象，受到全市上下热烈欢迎和普遍赞誉。</w:t>
      </w:r>
      <w:r>
        <w:rPr>
          <w:rFonts w:hint="eastAsia" w:ascii="仿宋" w:hAnsi="仿宋" w:eastAsia="仿宋" w:cs="仿宋"/>
          <w:kern w:val="2"/>
          <w:sz w:val="32"/>
          <w:szCs w:val="32"/>
          <w:lang w:val="en-US" w:eastAsia="zh-CN" w:bidi="ar"/>
        </w:rPr>
        <w:t>按照省政府、市政府关于大力倡导低碳绿色出行的指导意见和实施方案，要求每平方公里投放公共自行车100辆，实现</w:t>
      </w:r>
      <w:r>
        <w:rPr>
          <w:rFonts w:hint="eastAsia" w:ascii="仿宋" w:hAnsi="仿宋" w:eastAsia="仿宋" w:cs="仿宋"/>
          <w:kern w:val="0"/>
          <w:sz w:val="32"/>
          <w:szCs w:val="32"/>
          <w:lang w:val="en-US" w:eastAsia="zh-CN" w:bidi="ar"/>
        </w:rPr>
        <w:t>城区公共自行车服务全面覆盖，缓解城市交通拥堵，最大限度地发挥公共自行车便民服务项目的社会效益。</w:t>
      </w:r>
      <w:r>
        <w:rPr>
          <w:rFonts w:hint="eastAsia" w:ascii="仿宋_GB2312" w:hAnsi="仿宋_GB2312" w:eastAsia="仿宋_GB2312" w:cs="仿宋_GB2312"/>
          <w:kern w:val="2"/>
          <w:sz w:val="32"/>
          <w:szCs w:val="32"/>
          <w:lang w:val="en-US" w:eastAsia="zh-CN" w:bidi="zh-CN"/>
        </w:rPr>
        <w:t>年度运营公共</w:t>
      </w:r>
      <w:r>
        <w:rPr>
          <w:rFonts w:hint="eastAsia" w:ascii="仿宋_GB2312" w:hAnsi="宋体" w:eastAsia="仿宋_GB2312" w:cs="仿宋_GB2312"/>
          <w:color w:val="000000"/>
          <w:sz w:val="31"/>
          <w:szCs w:val="31"/>
          <w:lang w:val="en-US" w:eastAsia="zh-CN" w:bidi="ar"/>
        </w:rPr>
        <w:t>自行车任务与项目计划数相符，切实保障低碳绿色出行，缓解城镇交通拥堵，有效减少大气污染和能源消耗。</w:t>
      </w:r>
    </w:p>
    <w:p w14:paraId="12F9160F">
      <w:pPr>
        <w:keepNext w:val="0"/>
        <w:keepLines w:val="0"/>
        <w:widowControl w:val="0"/>
        <w:suppressLineNumbers w:val="0"/>
        <w:spacing w:before="0" w:beforeAutospacing="0" w:after="0" w:afterAutospacing="0" w:line="580" w:lineRule="exact"/>
        <w:ind w:left="0" w:right="0" w:firstLine="640" w:firstLineChars="200"/>
        <w:jc w:val="both"/>
        <w:rPr>
          <w:rFonts w:hint="eastAsia"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二、绩效评价工作开展情况</w:t>
      </w:r>
    </w:p>
    <w:p w14:paraId="0A674238">
      <w:pPr>
        <w:keepNext w:val="0"/>
        <w:keepLines w:val="0"/>
        <w:widowControl w:val="0"/>
        <w:suppressLineNumbers w:val="0"/>
        <w:spacing w:before="0" w:beforeAutospacing="0" w:after="0" w:afterAutospacing="0" w:line="580" w:lineRule="exact"/>
        <w:ind w:left="0" w:right="0"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绩效评价目的、对象和范围。为适应城市发展和公众使用需要，解决城市交通“最初一公里”和“最后一公里”短途驳接问题，缓解城市交通压力，减少环境污染，推进节能减排增效，切实保障市民绿色、便捷、安全、高效出行，淮北市于2014年4月开始，按照《安徽省人民政府办公厅关于大力倡导低碳绿色出行的指导意见》《淮北市人民政府办公室关于印发淮北市低碳绿色出行和停车设施规划建设实施方案的通知》《淮北市城市步行和自行车交通系统规划（2018-2035年）》要求，按照城市建成区每平方公里投放100辆左右的目标，采取“政府主导、市场运作”方式，分期实施公共自行车公益惠民服务工程。</w:t>
      </w:r>
    </w:p>
    <w:p w14:paraId="55542742">
      <w:pPr>
        <w:keepNext w:val="0"/>
        <w:keepLines w:val="0"/>
        <w:widowControl w:val="0"/>
        <w:suppressLineNumbers w:val="0"/>
        <w:spacing w:before="0" w:beforeAutospacing="0" w:after="0" w:afterAutospacing="0" w:line="580" w:lineRule="exact"/>
        <w:ind w:left="0" w:right="0"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评价对象和范围为市本级公共自行车四期项目70个站点、2500辆自行车。</w:t>
      </w:r>
    </w:p>
    <w:p w14:paraId="137638B5">
      <w:pPr>
        <w:keepNext w:val="0"/>
        <w:keepLines w:val="0"/>
        <w:widowControl w:val="0"/>
        <w:suppressLineNumbers w:val="0"/>
        <w:spacing w:before="0" w:beforeAutospacing="0" w:after="0" w:afterAutospacing="0" w:line="580" w:lineRule="exact"/>
        <w:ind w:left="0" w:right="0" w:firstLine="62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（二）绩效评价原则、评价指标体系（附表说明）、评价方法、评价标准等。</w:t>
      </w:r>
      <w:r>
        <w:rPr>
          <w:rFonts w:hint="default" w:ascii="仿宋_GB2312" w:hAnsi="宋体" w:eastAsia="仿宋_GB2312" w:cs="仿宋_GB2312"/>
          <w:color w:val="000000"/>
          <w:kern w:val="0"/>
          <w:sz w:val="31"/>
          <w:szCs w:val="31"/>
          <w:lang w:val="en-US" w:eastAsia="zh-CN" w:bidi="ar"/>
        </w:rPr>
        <w:t>为进一步加强政府投资项目财政绩效管理，建立科学、规范、合理的政府投资项目财政绩效评价体系，提高财政资金使用效益和效率，根据</w:t>
      </w:r>
      <w:r>
        <w:rPr>
          <w:rFonts w:hint="eastAsia" w:ascii="仿宋_GB2312" w:hAnsi="宋体" w:eastAsia="仿宋_GB2312" w:cs="仿宋_GB2312"/>
          <w:color w:val="000000"/>
          <w:kern w:val="0"/>
          <w:sz w:val="31"/>
          <w:szCs w:val="31"/>
          <w:lang w:val="en-US" w:eastAsia="zh-CN" w:bidi="ar"/>
        </w:rPr>
        <w:t>市财政局要求</w:t>
      </w:r>
      <w:r>
        <w:rPr>
          <w:rFonts w:hint="default" w:ascii="仿宋_GB2312" w:hAnsi="宋体" w:eastAsia="仿宋_GB2312" w:cs="仿宋_GB2312"/>
          <w:color w:val="000000"/>
          <w:kern w:val="0"/>
          <w:sz w:val="31"/>
          <w:szCs w:val="31"/>
          <w:lang w:val="en-US" w:eastAsia="zh-CN" w:bidi="ar"/>
        </w:rPr>
        <w:t>，对淮北市公共自行车</w:t>
      </w:r>
      <w:r>
        <w:rPr>
          <w:rFonts w:hint="eastAsia" w:ascii="仿宋_GB2312" w:hAnsi="宋体" w:eastAsia="仿宋_GB2312" w:cs="仿宋_GB2312"/>
          <w:color w:val="000000"/>
          <w:kern w:val="0"/>
          <w:sz w:val="31"/>
          <w:szCs w:val="31"/>
          <w:lang w:val="en-US" w:eastAsia="zh-CN" w:bidi="ar"/>
        </w:rPr>
        <w:t>四期</w:t>
      </w:r>
      <w:r>
        <w:rPr>
          <w:rFonts w:hint="default" w:ascii="仿宋_GB2312" w:hAnsi="宋体" w:eastAsia="仿宋_GB2312" w:cs="仿宋_GB2312"/>
          <w:color w:val="000000"/>
          <w:kern w:val="0"/>
          <w:sz w:val="31"/>
          <w:szCs w:val="31"/>
          <w:lang w:val="en-US" w:eastAsia="zh-CN" w:bidi="ar"/>
        </w:rPr>
        <w:t xml:space="preserve">项目实施绩效评价。具体评价主要依据《项目支出绩效评价管理办法》（财预﹝2020﹞10号）《淮北市预算绩效管理管理考核暂行办法》（淮绩效办﹝2020﹞1号）等文件规定。评价针对政府投资项目前期决策、项目管理和项目效益进行综合评价，同时突出对政府投资项目的投资控制管理进行评价，此外，发现项目实施过程中存在的问题，针对性地提出改进意见和建议，为提高项目管理水平和资金使用效益，加强财政预算管理方面提供有益借鉴和决策参考。 </w:t>
      </w:r>
    </w:p>
    <w:p w14:paraId="5CFA4C3F">
      <w:pPr>
        <w:pStyle w:val="3"/>
        <w:spacing w:before="0" w:after="0" w:line="240" w:lineRule="auto"/>
        <w:jc w:val="center"/>
        <w:rPr>
          <w:rFonts w:hint="eastAsia" w:ascii="宋体" w:hAnsi="宋体" w:eastAsia="宋体" w:cs="宋体"/>
          <w:bCs/>
          <w:color w:val="000000"/>
          <w:sz w:val="36"/>
          <w:szCs w:val="28"/>
        </w:rPr>
      </w:pPr>
    </w:p>
    <w:p w14:paraId="28652D04">
      <w:pPr>
        <w:pStyle w:val="3"/>
        <w:spacing w:before="0" w:after="0" w:line="240" w:lineRule="auto"/>
        <w:jc w:val="center"/>
        <w:rPr>
          <w:rFonts w:hint="eastAsia" w:ascii="宋体" w:hAnsi="宋体" w:eastAsia="宋体" w:cs="宋体"/>
          <w:bCs/>
          <w:color w:val="000000"/>
          <w:sz w:val="36"/>
          <w:szCs w:val="28"/>
        </w:rPr>
      </w:pPr>
    </w:p>
    <w:p w14:paraId="395E5D7F">
      <w:pPr>
        <w:pStyle w:val="3"/>
        <w:spacing w:before="0" w:after="0" w:line="240" w:lineRule="auto"/>
        <w:jc w:val="center"/>
        <w:rPr>
          <w:rFonts w:hint="eastAsia" w:cs="Times New Roman"/>
          <w:bCs/>
          <w:color w:val="000000"/>
        </w:rPr>
      </w:pPr>
      <w:r>
        <w:rPr>
          <w:rFonts w:hint="eastAsia" w:ascii="宋体" w:hAnsi="宋体" w:eastAsia="宋体" w:cs="宋体"/>
          <w:bCs/>
          <w:color w:val="000000"/>
          <w:sz w:val="36"/>
          <w:szCs w:val="28"/>
        </w:rPr>
        <w:t>项目支出绩效评价指标体系</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12"/>
        <w:gridCol w:w="1199"/>
        <w:gridCol w:w="1411"/>
        <w:gridCol w:w="4425"/>
      </w:tblGrid>
      <w:tr w14:paraId="43AED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1812" w:type="dxa"/>
            <w:shd w:val="clear" w:color="auto" w:fill="FFFFFF"/>
            <w:noWrap w:val="0"/>
            <w:vAlign w:val="center"/>
          </w:tcPr>
          <w:p w14:paraId="646489C9">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199" w:type="dxa"/>
            <w:shd w:val="clear" w:color="auto" w:fill="FFFFFF"/>
            <w:noWrap w:val="0"/>
            <w:vAlign w:val="center"/>
          </w:tcPr>
          <w:p w14:paraId="7BE375FC">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411" w:type="dxa"/>
            <w:shd w:val="clear" w:color="auto" w:fill="FFFFFF"/>
            <w:noWrap w:val="0"/>
            <w:vAlign w:val="center"/>
          </w:tcPr>
          <w:p w14:paraId="2CAF1280">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4425" w:type="dxa"/>
            <w:shd w:val="clear" w:color="auto" w:fill="FFFFFF"/>
            <w:noWrap w:val="0"/>
            <w:vAlign w:val="center"/>
          </w:tcPr>
          <w:p w14:paraId="267E4742">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r>
      <w:tr w14:paraId="52E8E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1812" w:type="dxa"/>
            <w:vMerge w:val="restart"/>
            <w:shd w:val="clear" w:color="auto" w:fill="FFFFFF"/>
            <w:noWrap w:val="0"/>
            <w:vAlign w:val="center"/>
          </w:tcPr>
          <w:p w14:paraId="33072704">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5A2E4BD3">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633CBE4E">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dxa"/>
            <w:vMerge w:val="restart"/>
            <w:shd w:val="clear" w:color="auto" w:fill="FFFFFF"/>
            <w:noWrap w:val="0"/>
            <w:vAlign w:val="center"/>
          </w:tcPr>
          <w:p w14:paraId="7FEC5891">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411" w:type="dxa"/>
            <w:shd w:val="clear" w:color="auto" w:fill="FFFFFF"/>
            <w:noWrap w:val="0"/>
            <w:vAlign w:val="center"/>
          </w:tcPr>
          <w:p w14:paraId="511F280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424684E5">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4425" w:type="dxa"/>
            <w:shd w:val="clear" w:color="auto" w:fill="FFFFFF"/>
            <w:noWrap w:val="0"/>
            <w:vAlign w:val="center"/>
          </w:tcPr>
          <w:p w14:paraId="530268C4">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r>
      <w:tr w14:paraId="0298F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1812" w:type="dxa"/>
            <w:vMerge w:val="continue"/>
            <w:shd w:val="clear" w:color="auto" w:fill="FFFFFF"/>
            <w:noWrap w:val="0"/>
            <w:vAlign w:val="center"/>
          </w:tcPr>
          <w:p w14:paraId="29F9D22D">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continue"/>
            <w:shd w:val="clear" w:color="auto" w:fill="FFFFFF"/>
            <w:noWrap w:val="0"/>
            <w:vAlign w:val="center"/>
          </w:tcPr>
          <w:p w14:paraId="28954E74">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411" w:type="dxa"/>
            <w:shd w:val="clear" w:color="auto" w:fill="FFFFFF"/>
            <w:noWrap w:val="0"/>
            <w:vAlign w:val="center"/>
          </w:tcPr>
          <w:p w14:paraId="28D00E4B">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1DCBB6DA">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4425" w:type="dxa"/>
            <w:shd w:val="clear" w:color="auto" w:fill="FFFFFF"/>
            <w:noWrap w:val="0"/>
            <w:vAlign w:val="center"/>
          </w:tcPr>
          <w:p w14:paraId="43133793">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r>
      <w:tr w14:paraId="3F785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1812" w:type="dxa"/>
            <w:vMerge w:val="continue"/>
            <w:shd w:val="clear" w:color="auto" w:fill="FFFFFF"/>
            <w:noWrap w:val="0"/>
            <w:vAlign w:val="center"/>
          </w:tcPr>
          <w:p w14:paraId="65AC2453">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shd w:val="clear" w:color="auto" w:fill="FFFFFF"/>
            <w:noWrap w:val="0"/>
            <w:vAlign w:val="center"/>
          </w:tcPr>
          <w:p w14:paraId="57213BDE">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411" w:type="dxa"/>
            <w:shd w:val="clear" w:color="auto" w:fill="FFFFFF"/>
            <w:noWrap w:val="0"/>
            <w:vAlign w:val="center"/>
          </w:tcPr>
          <w:p w14:paraId="50F39BE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762ADF3D">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4425" w:type="dxa"/>
            <w:shd w:val="clear" w:color="000000" w:fill="FFFFFF"/>
            <w:noWrap w:val="0"/>
            <w:vAlign w:val="center"/>
          </w:tcPr>
          <w:p w14:paraId="39B95224">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r>
      <w:tr w14:paraId="64B58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1812" w:type="dxa"/>
            <w:vMerge w:val="restart"/>
            <w:shd w:val="clear" w:color="auto" w:fill="FFFFFF"/>
            <w:noWrap w:val="0"/>
            <w:vAlign w:val="center"/>
          </w:tcPr>
          <w:p w14:paraId="5A8697FF">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1199" w:type="dxa"/>
            <w:shd w:val="clear" w:color="auto" w:fill="FFFFFF"/>
            <w:noWrap w:val="0"/>
            <w:vAlign w:val="center"/>
          </w:tcPr>
          <w:p w14:paraId="2DBF220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1411" w:type="dxa"/>
            <w:shd w:val="clear" w:color="auto" w:fill="FFFFFF"/>
            <w:noWrap w:val="0"/>
            <w:vAlign w:val="center"/>
          </w:tcPr>
          <w:p w14:paraId="1999D43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1E3BE5F9">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4425" w:type="dxa"/>
            <w:shd w:val="clear" w:color="000000" w:fill="FFFFFF"/>
            <w:noWrap w:val="0"/>
            <w:vAlign w:val="center"/>
          </w:tcPr>
          <w:p w14:paraId="3375EC4E">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r>
      <w:tr w14:paraId="0899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1812" w:type="dxa"/>
            <w:vMerge w:val="continue"/>
            <w:shd w:val="clear" w:color="auto" w:fill="FFFFFF"/>
            <w:noWrap w:val="0"/>
            <w:vAlign w:val="center"/>
          </w:tcPr>
          <w:p w14:paraId="088799A3">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restart"/>
            <w:shd w:val="clear" w:color="auto" w:fill="FFFFFF"/>
            <w:noWrap w:val="0"/>
            <w:vAlign w:val="center"/>
          </w:tcPr>
          <w:p w14:paraId="7B2F447F">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4B497B87">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shd w:val="clear" w:color="auto" w:fill="FFFFFF"/>
            <w:noWrap w:val="0"/>
            <w:vAlign w:val="center"/>
          </w:tcPr>
          <w:p w14:paraId="346D198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1E2967B2">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4425" w:type="dxa"/>
            <w:shd w:val="clear" w:color="auto" w:fill="FFFFFF"/>
            <w:noWrap w:val="0"/>
            <w:vAlign w:val="center"/>
          </w:tcPr>
          <w:p w14:paraId="6AAD7993">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r>
      <w:tr w14:paraId="44E5E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1812" w:type="dxa"/>
            <w:vMerge w:val="continue"/>
            <w:shd w:val="clear" w:color="auto" w:fill="FFFFFF"/>
            <w:noWrap w:val="0"/>
            <w:vAlign w:val="center"/>
          </w:tcPr>
          <w:p w14:paraId="4BDB32E6">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continue"/>
            <w:shd w:val="clear" w:color="auto" w:fill="FFFFFF"/>
            <w:noWrap w:val="0"/>
            <w:vAlign w:val="center"/>
          </w:tcPr>
          <w:p w14:paraId="10611A78">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411" w:type="dxa"/>
            <w:shd w:val="clear" w:color="auto" w:fill="FFFFFF"/>
            <w:noWrap w:val="0"/>
            <w:vAlign w:val="center"/>
          </w:tcPr>
          <w:p w14:paraId="77B3849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7C6357DB">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4425" w:type="dxa"/>
            <w:shd w:val="clear" w:color="auto" w:fill="FFFFFF"/>
            <w:noWrap w:val="0"/>
            <w:vAlign w:val="center"/>
          </w:tcPr>
          <w:p w14:paraId="6516D9D4">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r>
      <w:tr w14:paraId="023EC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1812" w:type="dxa"/>
            <w:vMerge w:val="restart"/>
            <w:shd w:val="clear" w:color="auto" w:fill="FFFFFF"/>
            <w:noWrap w:val="0"/>
            <w:vAlign w:val="center"/>
          </w:tcPr>
          <w:p w14:paraId="4723E72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1199" w:type="dxa"/>
            <w:vMerge w:val="restart"/>
            <w:shd w:val="clear" w:color="auto" w:fill="FFFFFF"/>
            <w:noWrap w:val="0"/>
            <w:vAlign w:val="center"/>
          </w:tcPr>
          <w:p w14:paraId="2F12CFC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shd w:val="clear" w:color="auto" w:fill="FFFFFF"/>
            <w:noWrap w:val="0"/>
            <w:vAlign w:val="center"/>
          </w:tcPr>
          <w:p w14:paraId="53634B1E">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4425" w:type="dxa"/>
            <w:shd w:val="clear" w:color="000000" w:fill="FFFFFF"/>
            <w:noWrap w:val="0"/>
            <w:vAlign w:val="center"/>
          </w:tcPr>
          <w:p w14:paraId="52EC9E62">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r>
      <w:tr w14:paraId="70A42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1812" w:type="dxa"/>
            <w:vMerge w:val="continue"/>
            <w:shd w:val="clear" w:color="auto" w:fill="FFFFFF"/>
            <w:noWrap w:val="0"/>
            <w:vAlign w:val="center"/>
          </w:tcPr>
          <w:p w14:paraId="5CEFEED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p>
        </w:tc>
        <w:tc>
          <w:tcPr>
            <w:tcW w:w="1199" w:type="dxa"/>
            <w:vMerge w:val="continue"/>
            <w:shd w:val="clear" w:color="auto" w:fill="FFFFFF"/>
            <w:noWrap w:val="0"/>
            <w:vAlign w:val="center"/>
          </w:tcPr>
          <w:p w14:paraId="641AF87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p>
        </w:tc>
        <w:tc>
          <w:tcPr>
            <w:tcW w:w="1411" w:type="dxa"/>
            <w:shd w:val="clear" w:color="auto" w:fill="FFFFFF"/>
            <w:noWrap w:val="0"/>
            <w:vAlign w:val="center"/>
          </w:tcPr>
          <w:p w14:paraId="242EE418">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4425" w:type="dxa"/>
            <w:shd w:val="clear" w:color="auto" w:fill="FFFFFF"/>
            <w:noWrap w:val="0"/>
            <w:vAlign w:val="center"/>
          </w:tcPr>
          <w:p w14:paraId="319A0C0A">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r>
      <w:tr w14:paraId="79BB5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812" w:type="dxa"/>
            <w:vMerge w:val="restart"/>
            <w:shd w:val="clear" w:color="auto" w:fill="FFFFFF"/>
            <w:noWrap w:val="0"/>
            <w:vAlign w:val="center"/>
          </w:tcPr>
          <w:p w14:paraId="1CBBBC4F">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6591CB6D">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1199" w:type="dxa"/>
            <w:shd w:val="clear" w:color="auto" w:fill="FFFFFF"/>
            <w:noWrap w:val="0"/>
            <w:vAlign w:val="center"/>
          </w:tcPr>
          <w:p w14:paraId="52AD26C4">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shd w:val="clear" w:color="auto" w:fill="FFFFFF"/>
            <w:noWrap w:val="0"/>
            <w:vAlign w:val="center"/>
          </w:tcPr>
          <w:p w14:paraId="58F6DF6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110725CF">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4425" w:type="dxa"/>
            <w:shd w:val="clear" w:color="000000" w:fill="FFFFFF"/>
            <w:noWrap w:val="0"/>
            <w:vAlign w:val="center"/>
          </w:tcPr>
          <w:p w14:paraId="6B942F2B">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r>
      <w:tr w14:paraId="2DD38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1812" w:type="dxa"/>
            <w:vMerge w:val="continue"/>
            <w:shd w:val="clear" w:color="auto" w:fill="FFFFFF"/>
            <w:noWrap w:val="0"/>
            <w:vAlign w:val="center"/>
          </w:tcPr>
          <w:p w14:paraId="16B517AA">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restart"/>
            <w:shd w:val="clear" w:color="auto" w:fill="FFFFFF"/>
            <w:noWrap w:val="0"/>
            <w:vAlign w:val="center"/>
          </w:tcPr>
          <w:p w14:paraId="20685CD0">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2F3842F3">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shd w:val="clear" w:color="auto" w:fill="FFFFFF"/>
            <w:noWrap w:val="0"/>
            <w:vAlign w:val="center"/>
          </w:tcPr>
          <w:p w14:paraId="4CF62C2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3F4B15A9">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4425" w:type="dxa"/>
            <w:shd w:val="clear" w:color="000000" w:fill="FFFFFF"/>
            <w:noWrap w:val="0"/>
            <w:vAlign w:val="center"/>
          </w:tcPr>
          <w:p w14:paraId="270C8BC9">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r>
      <w:tr w14:paraId="695D8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1812" w:type="dxa"/>
            <w:vMerge w:val="continue"/>
            <w:shd w:val="clear" w:color="auto" w:fill="FFFFFF"/>
            <w:noWrap w:val="0"/>
            <w:vAlign w:val="center"/>
          </w:tcPr>
          <w:p w14:paraId="0EF185DE">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continue"/>
            <w:shd w:val="clear" w:color="auto" w:fill="FFFFFF"/>
            <w:noWrap w:val="0"/>
            <w:vAlign w:val="center"/>
          </w:tcPr>
          <w:p w14:paraId="47350CD9">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411" w:type="dxa"/>
            <w:shd w:val="clear" w:color="auto" w:fill="FFFFFF"/>
            <w:noWrap w:val="0"/>
            <w:vAlign w:val="center"/>
          </w:tcPr>
          <w:p w14:paraId="7AA43FE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1ADC4731">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4425" w:type="dxa"/>
            <w:shd w:val="clear" w:color="000000" w:fill="FFFFFF"/>
            <w:noWrap w:val="0"/>
            <w:vAlign w:val="center"/>
          </w:tcPr>
          <w:p w14:paraId="1D0B3E74">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r>
      <w:tr w14:paraId="42B72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1812" w:type="dxa"/>
            <w:shd w:val="clear" w:color="auto" w:fill="FFFFFF"/>
            <w:noWrap w:val="0"/>
            <w:vAlign w:val="center"/>
          </w:tcPr>
          <w:p w14:paraId="282C636D">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shd w:val="clear" w:color="auto" w:fill="FFFFFF"/>
            <w:noWrap w:val="0"/>
            <w:vAlign w:val="center"/>
          </w:tcPr>
          <w:p w14:paraId="6F98DBA5">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1411" w:type="dxa"/>
            <w:shd w:val="clear" w:color="auto" w:fill="FFFFFF"/>
            <w:noWrap w:val="0"/>
            <w:vAlign w:val="center"/>
          </w:tcPr>
          <w:p w14:paraId="6AE1E0D3">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4425" w:type="dxa"/>
            <w:shd w:val="clear" w:color="000000" w:fill="FFFFFF"/>
            <w:noWrap w:val="0"/>
            <w:vAlign w:val="center"/>
          </w:tcPr>
          <w:p w14:paraId="574E6571">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r>
      <w:tr w14:paraId="31CB6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1812" w:type="dxa"/>
            <w:vMerge w:val="restart"/>
            <w:shd w:val="clear" w:color="auto" w:fill="FFFFFF"/>
            <w:noWrap w:val="0"/>
            <w:vAlign w:val="center"/>
          </w:tcPr>
          <w:p w14:paraId="10343414">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shd w:val="clear" w:color="auto" w:fill="FFFFFF"/>
            <w:noWrap w:val="0"/>
            <w:vAlign w:val="center"/>
          </w:tcPr>
          <w:p w14:paraId="7E024BF6">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411" w:type="dxa"/>
            <w:shd w:val="clear" w:color="auto" w:fill="FFFFFF"/>
            <w:noWrap w:val="0"/>
            <w:vAlign w:val="center"/>
          </w:tcPr>
          <w:p w14:paraId="7B9AB8BF">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4425" w:type="dxa"/>
            <w:shd w:val="clear" w:color="000000" w:fill="FFFFFF"/>
            <w:noWrap w:val="0"/>
            <w:vAlign w:val="center"/>
          </w:tcPr>
          <w:p w14:paraId="37A6C970">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r>
      <w:tr w14:paraId="7583F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1812" w:type="dxa"/>
            <w:vMerge w:val="continue"/>
            <w:shd w:val="clear" w:color="auto" w:fill="FFFFFF"/>
            <w:noWrap w:val="0"/>
            <w:vAlign w:val="center"/>
          </w:tcPr>
          <w:p w14:paraId="422774D1">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shd w:val="clear" w:color="auto" w:fill="FFFFFF"/>
            <w:noWrap w:val="0"/>
            <w:vAlign w:val="center"/>
          </w:tcPr>
          <w:p w14:paraId="7745DA53">
            <w:pPr>
              <w:keepNext w:val="0"/>
              <w:keepLines w:val="0"/>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411" w:type="dxa"/>
            <w:shd w:val="clear" w:color="auto" w:fill="FFFFFF"/>
            <w:noWrap w:val="0"/>
            <w:vAlign w:val="center"/>
          </w:tcPr>
          <w:p w14:paraId="08D808A1">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4425" w:type="dxa"/>
            <w:shd w:val="clear" w:color="000000" w:fill="FFFFFF"/>
            <w:noWrap w:val="0"/>
            <w:vAlign w:val="center"/>
          </w:tcPr>
          <w:p w14:paraId="7B6A9A9C">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r>
      <w:tr w14:paraId="6296A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812" w:type="dxa"/>
            <w:vMerge w:val="continue"/>
            <w:shd w:val="clear" w:color="auto" w:fill="FFFFFF"/>
            <w:noWrap w:val="0"/>
            <w:vAlign w:val="center"/>
          </w:tcPr>
          <w:p w14:paraId="25C356EB">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shd w:val="clear" w:color="auto" w:fill="FFFFFF"/>
            <w:noWrap w:val="0"/>
            <w:vAlign w:val="center"/>
          </w:tcPr>
          <w:p w14:paraId="5AF710BB">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411" w:type="dxa"/>
            <w:shd w:val="clear" w:color="auto" w:fill="FFFFFF"/>
            <w:noWrap w:val="0"/>
            <w:vAlign w:val="center"/>
          </w:tcPr>
          <w:p w14:paraId="5C3A5844">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4425" w:type="dxa"/>
            <w:shd w:val="clear" w:color="000000" w:fill="FFFFFF"/>
            <w:noWrap w:val="0"/>
            <w:vAlign w:val="center"/>
          </w:tcPr>
          <w:p w14:paraId="207457AA">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r>
      <w:tr w14:paraId="00750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1812" w:type="dxa"/>
            <w:vMerge w:val="restart"/>
            <w:shd w:val="clear" w:color="auto" w:fill="FFFFFF"/>
            <w:noWrap w:val="0"/>
            <w:vAlign w:val="center"/>
          </w:tcPr>
          <w:p w14:paraId="037C6867">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1199" w:type="dxa"/>
            <w:vMerge w:val="restart"/>
            <w:shd w:val="clear" w:color="auto" w:fill="FFFFFF"/>
            <w:noWrap w:val="0"/>
            <w:vAlign w:val="center"/>
          </w:tcPr>
          <w:p w14:paraId="5529701E">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1411" w:type="dxa"/>
            <w:shd w:val="clear" w:color="auto" w:fill="FFFFFF"/>
            <w:noWrap w:val="0"/>
            <w:vAlign w:val="center"/>
          </w:tcPr>
          <w:p w14:paraId="2BCE4C42">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4425" w:type="dxa"/>
            <w:shd w:val="clear" w:color="auto" w:fill="FFFFFF"/>
            <w:noWrap w:val="0"/>
            <w:vAlign w:val="center"/>
          </w:tcPr>
          <w:p w14:paraId="4AA67231">
            <w:pPr>
              <w:keepNext w:val="0"/>
              <w:keepLines w:val="0"/>
              <w:widowControl/>
              <w:suppressLineNumbers w:val="0"/>
              <w:spacing w:before="0" w:beforeAutospacing="0" w:after="0" w:afterAutospacing="0" w:line="0" w:lineRule="atLeast"/>
              <w:ind w:left="0" w:right="0"/>
              <w:jc w:val="left"/>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r>
      <w:tr w14:paraId="1E0C2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1812" w:type="dxa"/>
            <w:vMerge w:val="continue"/>
            <w:shd w:val="clear" w:color="auto" w:fill="FFFFFF"/>
            <w:noWrap w:val="0"/>
            <w:vAlign w:val="center"/>
          </w:tcPr>
          <w:p w14:paraId="566D4DB6">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199" w:type="dxa"/>
            <w:vMerge w:val="continue"/>
            <w:shd w:val="clear" w:color="auto" w:fill="FFFFFF"/>
            <w:noWrap w:val="0"/>
            <w:vAlign w:val="center"/>
          </w:tcPr>
          <w:p w14:paraId="5A42E6EC">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p>
        </w:tc>
        <w:tc>
          <w:tcPr>
            <w:tcW w:w="1411" w:type="dxa"/>
            <w:shd w:val="clear" w:color="auto" w:fill="FFFFFF"/>
            <w:noWrap w:val="0"/>
            <w:vAlign w:val="center"/>
          </w:tcPr>
          <w:p w14:paraId="57377CD8">
            <w:pPr>
              <w:keepNext w:val="0"/>
              <w:keepLines w:val="0"/>
              <w:widowControl/>
              <w:suppressLineNumbers w:val="0"/>
              <w:spacing w:before="0" w:beforeAutospacing="0" w:after="0" w:afterAutospacing="0" w:line="0" w:lineRule="atLeast"/>
              <w:ind w:left="0" w:right="0"/>
              <w:jc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4425" w:type="dxa"/>
            <w:shd w:val="clear" w:color="000000" w:fill="FFFFFF"/>
            <w:noWrap w:val="0"/>
            <w:vAlign w:val="center"/>
          </w:tcPr>
          <w:p w14:paraId="68EB8423">
            <w:pPr>
              <w:keepNext w:val="0"/>
              <w:keepLines w:val="0"/>
              <w:widowControl/>
              <w:suppressLineNumbers w:val="0"/>
              <w:spacing w:before="0" w:beforeAutospacing="0" w:after="0" w:afterAutospacing="0" w:line="0" w:lineRule="atLeast"/>
              <w:ind w:left="0" w:right="0"/>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r>
    </w:tbl>
    <w:p w14:paraId="2D016ACB">
      <w:pPr>
        <w:keepNext w:val="0"/>
        <w:keepLines w:val="0"/>
        <w:widowControl w:val="0"/>
        <w:suppressLineNumbers w:val="0"/>
        <w:spacing w:before="0" w:beforeAutospacing="0" w:after="0" w:afterAutospacing="0" w:line="580" w:lineRule="exact"/>
        <w:ind w:right="0"/>
        <w:jc w:val="center"/>
        <w:rPr>
          <w:rFonts w:hint="default" w:ascii="仿宋_GB2312" w:hAnsi="宋体" w:eastAsia="仿宋_GB2312" w:cs="仿宋_GB2312"/>
          <w:color w:val="000000"/>
          <w:kern w:val="0"/>
          <w:sz w:val="31"/>
          <w:szCs w:val="31"/>
          <w:lang w:val="en-US" w:eastAsia="zh-CN" w:bidi="ar"/>
        </w:rPr>
      </w:pPr>
    </w:p>
    <w:p w14:paraId="462E03AC">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w:t>
      </w:r>
      <w:r>
        <w:rPr>
          <w:rFonts w:hint="default" w:ascii="仿宋_GB2312" w:hAnsi="宋体" w:eastAsia="仿宋_GB2312" w:cs="仿宋_GB2312"/>
          <w:color w:val="000000"/>
          <w:kern w:val="0"/>
          <w:sz w:val="31"/>
          <w:szCs w:val="31"/>
          <w:lang w:val="en-US" w:eastAsia="zh-CN" w:bidi="ar"/>
        </w:rPr>
        <w:t>绩效评价工作过程。实地了解情况、搜集相关资料，在此基础上制定了绩效评价实施方案，完善了绩效评价指标框架。根据实施方案要求，围绕既定的评价指标框架开展了绩效评价工作，通过案卷研究、数据分析、询问查证、抽查资料、组织座谈及面访、实地调研等多种方式收集了充分的评价证据，同时梳理总结了项目实施后所取得的绩效以及项目实施过程中存在的问题，并相应地提出了一些意见与建议。</w:t>
      </w:r>
    </w:p>
    <w:p w14:paraId="34837033">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ascii="仿宋_GB2312" w:hAnsi="仿宋_GB2312" w:eastAsia="仿宋_GB2312" w:cs="仿宋_GB2312"/>
          <w:kern w:val="2"/>
          <w:sz w:val="32"/>
          <w:szCs w:val="32"/>
          <w:lang w:val="zh-CN" w:eastAsia="zh-CN" w:bidi="zh-CN"/>
        </w:rPr>
      </w:pPr>
      <w:r>
        <w:rPr>
          <w:rFonts w:hint="eastAsia" w:ascii="黑体" w:eastAsia="黑体"/>
          <w:sz w:val="32"/>
          <w:szCs w:val="32"/>
          <w:lang w:val="en-US" w:eastAsia="zh-CN"/>
        </w:rPr>
        <w:t>三、</w:t>
      </w:r>
      <w:r>
        <w:rPr>
          <w:rFonts w:hint="eastAsia" w:ascii="黑体" w:eastAsia="黑体"/>
          <w:sz w:val="32"/>
          <w:szCs w:val="32"/>
        </w:rPr>
        <w:t>综合评价情况及评价结论</w:t>
      </w:r>
      <w:r>
        <w:rPr>
          <w:rFonts w:ascii="仿宋_GB2312" w:hAnsi="仿宋_GB2312" w:eastAsia="仿宋_GB2312" w:cs="仿宋_GB2312"/>
          <w:kern w:val="2"/>
          <w:sz w:val="32"/>
          <w:szCs w:val="32"/>
          <w:lang w:val="zh-CN" w:eastAsia="zh-CN" w:bidi="zh-CN"/>
        </w:rPr>
        <w:t>（附相关评分表）</w:t>
      </w:r>
      <w:bookmarkStart w:id="0" w:name="_Toc21855"/>
    </w:p>
    <w:p w14:paraId="35A9DF28">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eastAsia" w:ascii="仿宋" w:hAnsi="仿宋" w:eastAsia="仿宋" w:cs="Times New Roman"/>
          <w:sz w:val="32"/>
          <w:szCs w:val="32"/>
          <w:lang w:val="en-US" w:eastAsia="zh-CN" w:bidi="ar"/>
        </w:rPr>
      </w:pPr>
      <w:r>
        <w:rPr>
          <w:rFonts w:hint="default" w:ascii="仿宋_GB2312" w:hAnsi="宋体" w:eastAsia="仿宋_GB2312" w:cs="仿宋_GB2312"/>
          <w:color w:val="000000"/>
          <w:kern w:val="0"/>
          <w:sz w:val="31"/>
          <w:szCs w:val="31"/>
          <w:lang w:val="en-US" w:eastAsia="zh-CN" w:bidi="ar"/>
        </w:rPr>
        <w:t>项目的运行对简约适度与绿色低碳生活理念的提升、</w:t>
      </w:r>
      <w:r>
        <w:rPr>
          <w:rFonts w:hint="eastAsia" w:ascii="仿宋_GB2312" w:hAnsi="宋体" w:eastAsia="仿宋_GB2312" w:cs="仿宋_GB2312"/>
          <w:color w:val="000000"/>
          <w:kern w:val="0"/>
          <w:sz w:val="31"/>
          <w:szCs w:val="31"/>
          <w:lang w:val="en-US" w:eastAsia="zh-CN" w:bidi="ar"/>
        </w:rPr>
        <w:t>生态</w:t>
      </w:r>
      <w:r>
        <w:rPr>
          <w:rFonts w:hint="default" w:ascii="仿宋_GB2312" w:hAnsi="宋体" w:eastAsia="仿宋_GB2312" w:cs="仿宋_GB2312"/>
          <w:color w:val="000000"/>
          <w:kern w:val="0"/>
          <w:sz w:val="31"/>
          <w:szCs w:val="31"/>
          <w:lang w:val="en-US" w:eastAsia="zh-CN" w:bidi="ar"/>
        </w:rPr>
        <w:t>环保意识的增强起到了积极作用</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cs="Times New Roman"/>
          <w:sz w:val="32"/>
          <w:szCs w:val="32"/>
          <w:lang w:val="en-US" w:eastAsia="zh-CN" w:bidi="ar"/>
        </w:rPr>
        <w:t>取得了良好的经济效益、社会效益和生态效益，成为宣传贯彻习近平生态文明思想的重要载体、推进广泛形成绿色生产生活方式的生动实践、助力碳达峰和碳中和行动的积极举措、倡导简约适度与绿色低碳生活方式的丰富内容、解决城市交通短途接驳服务绿色出行的最佳选择，在便利绿色出行、畅享绿色生活、减轻环境污染、缓解交通压力、维护市容秩序、助力文明创建、促进全民健身、普惠民生福祉等方面发挥了积极作用。</w:t>
      </w:r>
      <w:bookmarkStart w:id="1" w:name="_Toc22917"/>
      <w:bookmarkStart w:id="2" w:name="_Toc11689"/>
      <w:bookmarkStart w:id="3" w:name="_Toc7305"/>
      <w:bookmarkStart w:id="4" w:name="_Toc28831"/>
      <w:bookmarkStart w:id="5" w:name="_Toc8071"/>
      <w:bookmarkStart w:id="6" w:name="_Toc15926"/>
    </w:p>
    <w:p w14:paraId="7055EE54">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b w:val="0"/>
          <w:bCs w:val="0"/>
          <w:color w:val="000000"/>
          <w:kern w:val="0"/>
          <w:sz w:val="31"/>
          <w:szCs w:val="31"/>
          <w:lang w:eastAsia="zh-CN" w:bidi="ar"/>
        </w:rPr>
      </w:pPr>
      <w:r>
        <w:rPr>
          <w:rFonts w:hint="default" w:ascii="仿宋_GB2312" w:hAnsi="宋体" w:eastAsia="仿宋_GB2312" w:cs="仿宋_GB2312"/>
          <w:b w:val="0"/>
          <w:bCs w:val="0"/>
          <w:color w:val="000000"/>
          <w:kern w:val="0"/>
          <w:sz w:val="31"/>
          <w:szCs w:val="31"/>
          <w:lang w:eastAsia="zh-CN" w:bidi="ar"/>
        </w:rPr>
        <w:t>主管部门在项目运行管理过程中能够贯彻国家的各项政策法规，执行政府既定方针，遵照要求程序，通过执行项目监督管理的质量、安全等各项控制措施，保证了无重大质量、安全事故，项目监管有力，运行秩序良好。</w:t>
      </w:r>
      <w:bookmarkEnd w:id="1"/>
      <w:bookmarkEnd w:id="2"/>
      <w:bookmarkEnd w:id="3"/>
      <w:bookmarkEnd w:id="4"/>
      <w:bookmarkEnd w:id="5"/>
      <w:bookmarkEnd w:id="6"/>
      <w:bookmarkStart w:id="7" w:name="_Toc6120"/>
      <w:bookmarkStart w:id="8" w:name="_Toc25589"/>
      <w:bookmarkStart w:id="9" w:name="_Toc12530"/>
      <w:bookmarkStart w:id="10" w:name="_Toc8522"/>
      <w:bookmarkStart w:id="11" w:name="_Toc20092"/>
      <w:bookmarkStart w:id="12" w:name="_Toc7559"/>
      <w:r>
        <w:rPr>
          <w:rFonts w:hint="default" w:ascii="仿宋_GB2312" w:hAnsi="宋体" w:eastAsia="仿宋_GB2312" w:cs="仿宋_GB2312"/>
          <w:b w:val="0"/>
          <w:bCs w:val="0"/>
          <w:color w:val="000000"/>
          <w:kern w:val="0"/>
          <w:sz w:val="31"/>
          <w:szCs w:val="31"/>
          <w:lang w:eastAsia="zh-CN" w:bidi="ar"/>
        </w:rPr>
        <w:t>项目绩效目标完成程度高</w:t>
      </w:r>
      <w:r>
        <w:rPr>
          <w:rFonts w:hint="eastAsia" w:ascii="仿宋_GB2312" w:hAnsi="宋体" w:eastAsia="仿宋_GB2312" w:cs="仿宋_GB2312"/>
          <w:b w:val="0"/>
          <w:bCs w:val="0"/>
          <w:color w:val="000000"/>
          <w:kern w:val="0"/>
          <w:sz w:val="31"/>
          <w:szCs w:val="31"/>
          <w:lang w:eastAsia="zh-CN" w:bidi="ar"/>
        </w:rPr>
        <w:t>，</w:t>
      </w:r>
      <w:r>
        <w:rPr>
          <w:rFonts w:hint="default" w:ascii="仿宋_GB2312" w:hAnsi="宋体" w:eastAsia="仿宋_GB2312" w:cs="仿宋_GB2312"/>
          <w:b w:val="0"/>
          <w:bCs w:val="0"/>
          <w:color w:val="000000"/>
          <w:kern w:val="0"/>
          <w:sz w:val="31"/>
          <w:szCs w:val="31"/>
          <w:lang w:eastAsia="zh-CN" w:bidi="ar"/>
        </w:rPr>
        <w:t>在推进步行和自行车交通系统建设方面高质量完成阶段性目标，自行车交通系统建设取得省级评比排名第一的成绩；在全面推广公共自行车，实现低碳绿色出行方面，</w:t>
      </w:r>
      <w:r>
        <w:rPr>
          <w:rFonts w:hint="eastAsia" w:ascii="仿宋_GB2312" w:hAnsi="宋体" w:eastAsia="仿宋_GB2312" w:cs="仿宋_GB2312"/>
          <w:b w:val="0"/>
          <w:bCs w:val="0"/>
          <w:color w:val="000000"/>
          <w:kern w:val="0"/>
          <w:sz w:val="31"/>
          <w:szCs w:val="31"/>
          <w:lang w:eastAsia="zh-CN" w:bidi="ar"/>
        </w:rPr>
        <w:t>初步</w:t>
      </w:r>
      <w:r>
        <w:rPr>
          <w:rFonts w:hint="default" w:ascii="仿宋_GB2312" w:hAnsi="宋体" w:eastAsia="仿宋_GB2312" w:cs="仿宋_GB2312"/>
          <w:b w:val="0"/>
          <w:bCs w:val="0"/>
          <w:color w:val="000000"/>
          <w:kern w:val="0"/>
          <w:sz w:val="31"/>
          <w:szCs w:val="31"/>
          <w:lang w:eastAsia="zh-CN" w:bidi="ar"/>
        </w:rPr>
        <w:t>实现阶段性目标；在切实缓解城镇交通拥堵，有效减少大气污染和能源消耗方面，</w:t>
      </w:r>
      <w:r>
        <w:rPr>
          <w:rFonts w:hint="eastAsia" w:ascii="仿宋" w:hAnsi="仿宋" w:eastAsia="仿宋" w:cs="Times New Roman"/>
          <w:sz w:val="32"/>
          <w:szCs w:val="32"/>
          <w:lang w:val="en-US" w:eastAsia="zh-CN" w:bidi="ar"/>
        </w:rPr>
        <w:t>每车每年可减少二氧化碳排放0.4吨</w:t>
      </w:r>
      <w:r>
        <w:rPr>
          <w:rFonts w:hint="default" w:ascii="仿宋_GB2312" w:hAnsi="宋体" w:eastAsia="仿宋_GB2312" w:cs="仿宋_GB2312"/>
          <w:b w:val="0"/>
          <w:bCs w:val="0"/>
          <w:color w:val="000000"/>
          <w:kern w:val="0"/>
          <w:sz w:val="31"/>
          <w:szCs w:val="31"/>
          <w:lang w:eastAsia="zh-CN" w:bidi="ar"/>
        </w:rPr>
        <w:t>，缓解交通压力及节能减排效果显著。</w:t>
      </w:r>
      <w:bookmarkEnd w:id="7"/>
      <w:bookmarkEnd w:id="8"/>
      <w:bookmarkEnd w:id="9"/>
      <w:bookmarkEnd w:id="10"/>
      <w:bookmarkEnd w:id="11"/>
      <w:bookmarkEnd w:id="12"/>
    </w:p>
    <w:p w14:paraId="4005B70F">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项目运行在社会效益、经济效益、生态效益、可持续性影响发面产生了良好的效果。社会效益方面，自行车出行已深度融入市民工作生活中，绿色节能环保出行理念有效提升，项目实施增加了就业岗位，对城市文明形象的提升起到了积极作用，项目总体满意度高。经济效益方面，根据统计数据按照搭乘出租车</w:t>
      </w:r>
      <w:r>
        <w:rPr>
          <w:rFonts w:hint="eastAsia" w:ascii="仿宋_GB2312" w:hAnsi="宋体" w:eastAsia="仿宋_GB2312" w:cs="仿宋_GB2312"/>
          <w:color w:val="000000"/>
          <w:kern w:val="0"/>
          <w:sz w:val="31"/>
          <w:szCs w:val="31"/>
          <w:lang w:val="en-US" w:eastAsia="zh-CN" w:bidi="ar"/>
        </w:rPr>
        <w:t>等交通工具</w:t>
      </w:r>
      <w:r>
        <w:rPr>
          <w:rFonts w:hint="default" w:ascii="仿宋_GB2312" w:hAnsi="宋体" w:eastAsia="仿宋_GB2312" w:cs="仿宋_GB2312"/>
          <w:color w:val="000000"/>
          <w:kern w:val="0"/>
          <w:sz w:val="31"/>
          <w:szCs w:val="31"/>
          <w:lang w:val="en-US" w:eastAsia="zh-CN" w:bidi="ar"/>
        </w:rPr>
        <w:t>换算分析，</w:t>
      </w:r>
      <w:r>
        <w:rPr>
          <w:rFonts w:hint="eastAsia" w:ascii="仿宋" w:hAnsi="仿宋" w:eastAsia="仿宋" w:cs="Times New Roman"/>
          <w:sz w:val="32"/>
          <w:szCs w:val="32"/>
          <w:lang w:val="en-US" w:eastAsia="zh-CN" w:bidi="ar"/>
        </w:rPr>
        <w:t>每车每年可为市民节约出行成本0.43万元</w:t>
      </w:r>
      <w:r>
        <w:rPr>
          <w:rFonts w:hint="default" w:ascii="仿宋_GB2312" w:hAnsi="宋体" w:eastAsia="仿宋_GB2312" w:cs="仿宋_GB2312"/>
          <w:color w:val="000000"/>
          <w:kern w:val="0"/>
          <w:sz w:val="31"/>
          <w:szCs w:val="31"/>
          <w:lang w:val="en-US" w:eastAsia="zh-CN" w:bidi="ar"/>
        </w:rPr>
        <w:t>，效费比为2.13:1，产生了良好的经济效益。生态效益方面，减少二氧化碳排放及碳排放效果明显，生态效益良好。在可持续发展方面，项目已列入政府中长期规划，</w:t>
      </w:r>
      <w:r>
        <w:rPr>
          <w:rFonts w:hint="eastAsia" w:ascii="仿宋_GB2312" w:hAnsi="宋体" w:eastAsia="仿宋_GB2312" w:cs="仿宋_GB2312"/>
          <w:color w:val="000000"/>
          <w:kern w:val="0"/>
          <w:sz w:val="31"/>
          <w:szCs w:val="31"/>
          <w:lang w:val="en-US" w:eastAsia="zh-CN" w:bidi="ar"/>
        </w:rPr>
        <w:t>作为</w:t>
      </w:r>
      <w:r>
        <w:rPr>
          <w:rFonts w:hint="eastAsia" w:ascii="仿宋" w:hAnsi="仿宋" w:eastAsia="仿宋" w:cs="仿宋"/>
          <w:kern w:val="2"/>
          <w:sz w:val="32"/>
          <w:szCs w:val="32"/>
          <w:lang w:val="en-US" w:eastAsia="zh-CN" w:bidi="ar"/>
        </w:rPr>
        <w:t>贯彻落实习近平生态文明思想、响应党中央碳达峰与碳中和重大战略决策的积极行动，落实好《中共中央国务院关于完整准确全面贯彻新发展理念做好碳达峰碳中和工作的意见》提出的“加快形成绿色生产生活方式”“积极引导低碳出行”、国务院《2030年前碳达峰行动方案》要求的“积极引导公众选择绿色低碳交通方式”“推广绿色低碳生活方式”、中办国办《关于推动城乡建设绿色发展的意见》提出的“深入开展绿色出行创建行动，优化交通出行结构，鼓励公众选择公共交通、自行车和步行等出行方式”、</w:t>
      </w:r>
      <w:r>
        <w:rPr>
          <w:rFonts w:hint="eastAsia" w:ascii="仿宋" w:hAnsi="仿宋" w:eastAsia="仿宋" w:cs="仿宋"/>
          <w:kern w:val="0"/>
          <w:sz w:val="32"/>
          <w:szCs w:val="32"/>
          <w:lang w:val="en-US" w:eastAsia="zh-CN" w:bidi="ar"/>
        </w:rPr>
        <w:t>全国文明城市测评关于“倡导简约适度、绿色低碳的生活方式”的要求</w:t>
      </w:r>
      <w:r>
        <w:rPr>
          <w:rFonts w:hint="eastAsia" w:ascii="仿宋" w:hAnsi="仿宋" w:eastAsia="仿宋" w:cs="仿宋"/>
          <w:kern w:val="2"/>
          <w:sz w:val="32"/>
          <w:szCs w:val="32"/>
          <w:lang w:val="en-US" w:eastAsia="zh-CN" w:bidi="ar"/>
        </w:rPr>
        <w:t>。</w:t>
      </w:r>
      <w:r>
        <w:rPr>
          <w:rFonts w:hint="default" w:ascii="仿宋_GB2312" w:hAnsi="宋体" w:eastAsia="仿宋_GB2312" w:cs="仿宋_GB2312"/>
          <w:color w:val="000000"/>
          <w:kern w:val="0"/>
          <w:sz w:val="31"/>
          <w:szCs w:val="31"/>
          <w:lang w:val="en-US" w:eastAsia="zh-CN" w:bidi="ar"/>
        </w:rPr>
        <w:t>主管部门成立公共自行车管理中心专司项目监管，财政安排专项资金支持</w:t>
      </w:r>
      <w:r>
        <w:rPr>
          <w:rFonts w:hint="eastAsia" w:ascii="仿宋" w:hAnsi="仿宋" w:eastAsia="仿宋" w:cs="仿宋"/>
          <w:kern w:val="0"/>
          <w:sz w:val="32"/>
          <w:szCs w:val="32"/>
          <w:lang w:val="en-US" w:eastAsia="zh-CN" w:bidi="ar"/>
        </w:rPr>
        <w:t>，稳步实施</w:t>
      </w:r>
      <w:r>
        <w:rPr>
          <w:rFonts w:hint="eastAsia" w:ascii="仿宋" w:hAnsi="仿宋" w:eastAsia="仿宋" w:cs="仿宋"/>
          <w:kern w:val="2"/>
          <w:sz w:val="32"/>
          <w:szCs w:val="32"/>
          <w:lang w:val="en-US" w:eastAsia="zh-CN" w:bidi="ar"/>
        </w:rPr>
        <w:t>《淮北市城市步行和自行车交通系统规划（2018-2035年）》，推进公共自行车服务拓展延伸、优化升级</w:t>
      </w:r>
      <w:r>
        <w:rPr>
          <w:rFonts w:hint="default" w:ascii="仿宋_GB2312" w:hAnsi="宋体" w:eastAsia="仿宋_GB2312" w:cs="仿宋_GB2312"/>
          <w:color w:val="000000"/>
          <w:kern w:val="0"/>
          <w:sz w:val="31"/>
          <w:szCs w:val="31"/>
          <w:lang w:val="en-US" w:eastAsia="zh-CN" w:bidi="ar"/>
        </w:rPr>
        <w:t>，项目后续运行及成效发挥方面预期良好。</w:t>
      </w:r>
      <w:bookmarkEnd w:id="0"/>
    </w:p>
    <w:p w14:paraId="499E08DE">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39131E41">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3A320E1C">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0026B4C5">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32BACA78">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6C6F7E5F">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5E4AB693">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3594B9FA">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77C67A68">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p w14:paraId="7BE29F52">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p>
    <w:tbl>
      <w:tblPr>
        <w:tblStyle w:val="8"/>
        <w:tblW w:w="9228" w:type="dxa"/>
        <w:jc w:val="center"/>
        <w:tblLayout w:type="fixed"/>
        <w:tblCellMar>
          <w:top w:w="0" w:type="dxa"/>
          <w:left w:w="108" w:type="dxa"/>
          <w:bottom w:w="0" w:type="dxa"/>
          <w:right w:w="108" w:type="dxa"/>
        </w:tblCellMar>
      </w:tblPr>
      <w:tblGrid>
        <w:gridCol w:w="588"/>
        <w:gridCol w:w="980"/>
        <w:gridCol w:w="1112"/>
        <w:gridCol w:w="730"/>
        <w:gridCol w:w="1134"/>
        <w:gridCol w:w="1134"/>
        <w:gridCol w:w="1134"/>
        <w:gridCol w:w="515"/>
        <w:gridCol w:w="194"/>
        <w:gridCol w:w="361"/>
        <w:gridCol w:w="490"/>
        <w:gridCol w:w="856"/>
      </w:tblGrid>
      <w:tr w14:paraId="41B5943C">
        <w:tblPrEx>
          <w:tblCellMar>
            <w:top w:w="0" w:type="dxa"/>
            <w:left w:w="108" w:type="dxa"/>
            <w:bottom w:w="0" w:type="dxa"/>
            <w:right w:w="108" w:type="dxa"/>
          </w:tblCellMar>
        </w:tblPrEx>
        <w:trPr>
          <w:trHeight w:val="454" w:hRule="exact"/>
          <w:jc w:val="center"/>
        </w:trPr>
        <w:tc>
          <w:tcPr>
            <w:tcW w:w="9228" w:type="dxa"/>
            <w:gridSpan w:val="12"/>
            <w:tcBorders>
              <w:top w:val="nil"/>
              <w:left w:val="nil"/>
              <w:bottom w:val="nil"/>
              <w:right w:val="nil"/>
            </w:tcBorders>
            <w:noWrap w:val="0"/>
            <w:vAlign w:val="center"/>
          </w:tcPr>
          <w:p w14:paraId="4BD35D54">
            <w:pPr>
              <w:keepNext w:val="0"/>
              <w:keepLines w:val="0"/>
              <w:widowControl/>
              <w:suppressLineNumbers w:val="0"/>
              <w:spacing w:before="0" w:beforeAutospacing="0" w:after="0" w:afterAutospacing="0" w:line="320" w:lineRule="exact"/>
              <w:ind w:left="0" w:right="0" w:firstLine="2891" w:firstLineChars="900"/>
              <w:jc w:val="both"/>
              <w:rPr>
                <w:rFonts w:hint="default"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62BD850D">
        <w:tblPrEx>
          <w:tblCellMar>
            <w:top w:w="0" w:type="dxa"/>
            <w:left w:w="108" w:type="dxa"/>
            <w:bottom w:w="0" w:type="dxa"/>
            <w:right w:w="108" w:type="dxa"/>
          </w:tblCellMar>
        </w:tblPrEx>
        <w:trPr>
          <w:trHeight w:val="201" w:hRule="atLeast"/>
          <w:jc w:val="center"/>
        </w:trPr>
        <w:tc>
          <w:tcPr>
            <w:tcW w:w="9228" w:type="dxa"/>
            <w:gridSpan w:val="12"/>
            <w:tcBorders>
              <w:top w:val="nil"/>
              <w:left w:val="nil"/>
              <w:bottom w:val="nil"/>
              <w:right w:val="nil"/>
            </w:tcBorders>
            <w:noWrap w:val="0"/>
            <w:vAlign w:val="top"/>
          </w:tcPr>
          <w:p w14:paraId="7701548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2023</w:t>
            </w:r>
            <w:r>
              <w:rPr>
                <w:rFonts w:hint="eastAsia" w:ascii="宋体" w:hAnsi="宋体" w:eastAsia="宋体" w:cs="宋体"/>
                <w:kern w:val="0"/>
                <w:sz w:val="22"/>
                <w:szCs w:val="22"/>
              </w:rPr>
              <w:t>年度）</w:t>
            </w:r>
          </w:p>
        </w:tc>
      </w:tr>
      <w:tr w14:paraId="0CF90C1D">
        <w:tblPrEx>
          <w:tblCellMar>
            <w:top w:w="0" w:type="dxa"/>
            <w:left w:w="108" w:type="dxa"/>
            <w:bottom w:w="0" w:type="dxa"/>
            <w:right w:w="108" w:type="dxa"/>
          </w:tblCellMar>
        </w:tblPrEx>
        <w:trPr>
          <w:trHeight w:val="39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61C52D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项目名称</w:t>
            </w:r>
          </w:p>
        </w:tc>
        <w:tc>
          <w:tcPr>
            <w:tcW w:w="7660" w:type="dxa"/>
            <w:gridSpan w:val="10"/>
            <w:tcBorders>
              <w:top w:val="single" w:color="auto" w:sz="4" w:space="0"/>
              <w:left w:val="nil"/>
              <w:bottom w:val="single" w:color="auto" w:sz="4" w:space="0"/>
              <w:right w:val="single" w:color="auto" w:sz="4" w:space="0"/>
            </w:tcBorders>
            <w:noWrap w:val="0"/>
            <w:vAlign w:val="center"/>
          </w:tcPr>
          <w:p w14:paraId="5BF46A4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公共自行车运行费（四期）</w:t>
            </w:r>
          </w:p>
        </w:tc>
      </w:tr>
      <w:tr w14:paraId="4A2832C8">
        <w:tblPrEx>
          <w:tblCellMar>
            <w:top w:w="0" w:type="dxa"/>
            <w:left w:w="108" w:type="dxa"/>
            <w:bottom w:w="0" w:type="dxa"/>
            <w:right w:w="108" w:type="dxa"/>
          </w:tblCellMar>
        </w:tblPrEx>
        <w:trPr>
          <w:trHeight w:val="59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EAF7CF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4"/>
            <w:tcBorders>
              <w:top w:val="single" w:color="auto" w:sz="4" w:space="0"/>
              <w:left w:val="nil"/>
              <w:bottom w:val="single" w:color="auto" w:sz="4" w:space="0"/>
              <w:right w:val="single" w:color="auto" w:sz="4" w:space="0"/>
            </w:tcBorders>
            <w:noWrap w:val="0"/>
            <w:vAlign w:val="center"/>
          </w:tcPr>
          <w:p w14:paraId="0438C56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淮北市城市管理局</w:t>
            </w:r>
          </w:p>
        </w:tc>
        <w:tc>
          <w:tcPr>
            <w:tcW w:w="1134" w:type="dxa"/>
            <w:tcBorders>
              <w:top w:val="nil"/>
              <w:left w:val="nil"/>
              <w:bottom w:val="single" w:color="auto" w:sz="4" w:space="0"/>
              <w:right w:val="single" w:color="auto" w:sz="4" w:space="0"/>
            </w:tcBorders>
            <w:noWrap w:val="0"/>
            <w:vAlign w:val="center"/>
          </w:tcPr>
          <w:p w14:paraId="11CAEA5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实施单位</w:t>
            </w:r>
          </w:p>
        </w:tc>
        <w:tc>
          <w:tcPr>
            <w:tcW w:w="2416" w:type="dxa"/>
            <w:gridSpan w:val="5"/>
            <w:tcBorders>
              <w:top w:val="single" w:color="auto" w:sz="4" w:space="0"/>
              <w:left w:val="nil"/>
              <w:bottom w:val="single" w:color="auto" w:sz="4" w:space="0"/>
              <w:right w:val="single" w:color="auto" w:sz="4" w:space="0"/>
            </w:tcBorders>
            <w:noWrap w:val="0"/>
            <w:vAlign w:val="center"/>
          </w:tcPr>
          <w:p w14:paraId="7CE0EE3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淮北市公共自行车管理中心</w:t>
            </w:r>
          </w:p>
        </w:tc>
      </w:tr>
      <w:tr w14:paraId="528E226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DA01FE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058A358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7F2E31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14:paraId="78D7334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tcBorders>
              <w:top w:val="nil"/>
              <w:left w:val="nil"/>
              <w:bottom w:val="single" w:color="auto" w:sz="4" w:space="0"/>
              <w:right w:val="single" w:color="auto" w:sz="4" w:space="0"/>
            </w:tcBorders>
            <w:noWrap w:val="0"/>
            <w:vAlign w:val="center"/>
          </w:tcPr>
          <w:p w14:paraId="5C6F0DF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5C5AEE2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A0D699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执行率</w:t>
            </w:r>
          </w:p>
        </w:tc>
        <w:tc>
          <w:tcPr>
            <w:tcW w:w="856" w:type="dxa"/>
            <w:tcBorders>
              <w:top w:val="nil"/>
              <w:left w:val="nil"/>
              <w:bottom w:val="single" w:color="auto" w:sz="4" w:space="0"/>
              <w:right w:val="single" w:color="auto" w:sz="4" w:space="0"/>
            </w:tcBorders>
            <w:noWrap w:val="0"/>
            <w:vAlign w:val="center"/>
          </w:tcPr>
          <w:p w14:paraId="7CA2EEB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r>
      <w:tr w14:paraId="34D291A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7E206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99C43C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808A42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448.42</w:t>
            </w:r>
          </w:p>
        </w:tc>
        <w:tc>
          <w:tcPr>
            <w:tcW w:w="1134" w:type="dxa"/>
            <w:tcBorders>
              <w:top w:val="nil"/>
              <w:left w:val="nil"/>
              <w:bottom w:val="single" w:color="auto" w:sz="4" w:space="0"/>
              <w:right w:val="single" w:color="auto" w:sz="4" w:space="0"/>
            </w:tcBorders>
            <w:noWrap w:val="0"/>
            <w:vAlign w:val="center"/>
          </w:tcPr>
          <w:p w14:paraId="535CC61D">
            <w:pPr>
              <w:keepNext w:val="0"/>
              <w:keepLines w:val="0"/>
              <w:widowControl/>
              <w:suppressLineNumbers w:val="0"/>
              <w:spacing w:before="0" w:beforeAutospacing="0" w:after="0" w:afterAutospacing="0" w:line="240" w:lineRule="exact"/>
              <w:ind w:left="0" w:right="0" w:firstLine="180" w:firstLineChars="100"/>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448.42</w:t>
            </w:r>
          </w:p>
        </w:tc>
        <w:tc>
          <w:tcPr>
            <w:tcW w:w="1134" w:type="dxa"/>
            <w:tcBorders>
              <w:top w:val="nil"/>
              <w:left w:val="nil"/>
              <w:bottom w:val="single" w:color="auto" w:sz="4" w:space="0"/>
              <w:right w:val="single" w:color="auto" w:sz="4" w:space="0"/>
            </w:tcBorders>
            <w:noWrap w:val="0"/>
            <w:vAlign w:val="center"/>
          </w:tcPr>
          <w:p w14:paraId="0C1A5AB1">
            <w:pPr>
              <w:keepNext w:val="0"/>
              <w:keepLines w:val="0"/>
              <w:widowControl/>
              <w:suppressLineNumbers w:val="0"/>
              <w:spacing w:before="0" w:beforeAutospacing="0" w:after="0" w:afterAutospacing="0" w:line="240" w:lineRule="exact"/>
              <w:ind w:left="0" w:right="0" w:firstLine="180" w:firstLineChars="100"/>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444.98</w:t>
            </w:r>
          </w:p>
        </w:tc>
        <w:tc>
          <w:tcPr>
            <w:tcW w:w="709" w:type="dxa"/>
            <w:gridSpan w:val="2"/>
            <w:tcBorders>
              <w:top w:val="nil"/>
              <w:left w:val="nil"/>
              <w:bottom w:val="single" w:color="auto" w:sz="4" w:space="0"/>
              <w:right w:val="single" w:color="auto" w:sz="4" w:space="0"/>
            </w:tcBorders>
            <w:noWrap w:val="0"/>
            <w:vAlign w:val="center"/>
          </w:tcPr>
          <w:p w14:paraId="3D38106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5FE9E98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99.20%</w:t>
            </w:r>
          </w:p>
        </w:tc>
        <w:tc>
          <w:tcPr>
            <w:tcW w:w="856" w:type="dxa"/>
            <w:tcBorders>
              <w:top w:val="nil"/>
              <w:left w:val="nil"/>
              <w:bottom w:val="single" w:color="auto" w:sz="4" w:space="0"/>
              <w:right w:val="single" w:color="auto" w:sz="4" w:space="0"/>
            </w:tcBorders>
            <w:noWrap w:val="0"/>
            <w:vAlign w:val="center"/>
          </w:tcPr>
          <w:p w14:paraId="6E58C87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3B194A2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E2617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9ADC93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3A67D425">
            <w:pPr>
              <w:keepNext w:val="0"/>
              <w:keepLines w:val="0"/>
              <w:widowControl/>
              <w:suppressLineNumbers w:val="0"/>
              <w:spacing w:before="0" w:beforeAutospacing="0" w:after="0" w:afterAutospacing="0" w:line="240" w:lineRule="exact"/>
              <w:ind w:left="0" w:right="0" w:firstLine="180" w:firstLineChars="100"/>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448.42</w:t>
            </w:r>
          </w:p>
        </w:tc>
        <w:tc>
          <w:tcPr>
            <w:tcW w:w="1134" w:type="dxa"/>
            <w:tcBorders>
              <w:top w:val="nil"/>
              <w:left w:val="nil"/>
              <w:bottom w:val="single" w:color="auto" w:sz="4" w:space="0"/>
              <w:right w:val="single" w:color="auto" w:sz="4" w:space="0"/>
            </w:tcBorders>
            <w:noWrap w:val="0"/>
            <w:vAlign w:val="center"/>
          </w:tcPr>
          <w:p w14:paraId="5C791B8E">
            <w:pPr>
              <w:keepNext w:val="0"/>
              <w:keepLines w:val="0"/>
              <w:widowControl/>
              <w:suppressLineNumbers w:val="0"/>
              <w:spacing w:before="0" w:beforeAutospacing="0" w:after="0" w:afterAutospacing="0" w:line="240" w:lineRule="exact"/>
              <w:ind w:left="0" w:right="0" w:firstLine="180" w:firstLineChars="100"/>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448.42</w:t>
            </w:r>
          </w:p>
        </w:tc>
        <w:tc>
          <w:tcPr>
            <w:tcW w:w="1134" w:type="dxa"/>
            <w:tcBorders>
              <w:top w:val="nil"/>
              <w:left w:val="nil"/>
              <w:bottom w:val="single" w:color="auto" w:sz="4" w:space="0"/>
              <w:right w:val="single" w:color="auto" w:sz="4" w:space="0"/>
            </w:tcBorders>
            <w:noWrap w:val="0"/>
            <w:vAlign w:val="center"/>
          </w:tcPr>
          <w:p w14:paraId="67F2D49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444.98</w:t>
            </w:r>
          </w:p>
        </w:tc>
        <w:tc>
          <w:tcPr>
            <w:tcW w:w="709" w:type="dxa"/>
            <w:gridSpan w:val="2"/>
            <w:tcBorders>
              <w:top w:val="nil"/>
              <w:left w:val="nil"/>
              <w:bottom w:val="single" w:color="auto" w:sz="4" w:space="0"/>
              <w:right w:val="single" w:color="auto" w:sz="4" w:space="0"/>
            </w:tcBorders>
            <w:noWrap w:val="0"/>
            <w:vAlign w:val="center"/>
          </w:tcPr>
          <w:p w14:paraId="5B94573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1621E9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99.20%</w:t>
            </w:r>
          </w:p>
        </w:tc>
        <w:tc>
          <w:tcPr>
            <w:tcW w:w="856" w:type="dxa"/>
            <w:tcBorders>
              <w:top w:val="nil"/>
              <w:left w:val="nil"/>
              <w:bottom w:val="single" w:color="auto" w:sz="4" w:space="0"/>
              <w:right w:val="single" w:color="auto" w:sz="4" w:space="0"/>
            </w:tcBorders>
            <w:noWrap w:val="0"/>
            <w:vAlign w:val="center"/>
          </w:tcPr>
          <w:p w14:paraId="2ADCFA7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14:paraId="5ADE193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8C260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DAA3EC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4392E45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nil"/>
              <w:left w:val="nil"/>
              <w:bottom w:val="single" w:color="auto" w:sz="4" w:space="0"/>
              <w:right w:val="single" w:color="auto" w:sz="4" w:space="0"/>
            </w:tcBorders>
            <w:noWrap w:val="0"/>
            <w:vAlign w:val="center"/>
          </w:tcPr>
          <w:p w14:paraId="0267457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nil"/>
              <w:left w:val="nil"/>
              <w:bottom w:val="single" w:color="auto" w:sz="4" w:space="0"/>
              <w:right w:val="single" w:color="auto" w:sz="4" w:space="0"/>
            </w:tcBorders>
            <w:noWrap w:val="0"/>
            <w:vAlign w:val="center"/>
          </w:tcPr>
          <w:p w14:paraId="45FDBED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14:paraId="5D00FD2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6C498D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56" w:type="dxa"/>
            <w:tcBorders>
              <w:top w:val="nil"/>
              <w:left w:val="nil"/>
              <w:bottom w:val="single" w:color="auto" w:sz="4" w:space="0"/>
              <w:right w:val="single" w:color="auto" w:sz="4" w:space="0"/>
            </w:tcBorders>
            <w:noWrap w:val="0"/>
            <w:vAlign w:val="center"/>
          </w:tcPr>
          <w:p w14:paraId="10C02EF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14:paraId="1F43938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6DE7F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878CCA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060EE69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nil"/>
              <w:left w:val="nil"/>
              <w:bottom w:val="single" w:color="auto" w:sz="4" w:space="0"/>
              <w:right w:val="single" w:color="auto" w:sz="4" w:space="0"/>
            </w:tcBorders>
            <w:noWrap w:val="0"/>
            <w:vAlign w:val="center"/>
          </w:tcPr>
          <w:p w14:paraId="1996DE8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nil"/>
              <w:left w:val="nil"/>
              <w:bottom w:val="single" w:color="auto" w:sz="4" w:space="0"/>
              <w:right w:val="single" w:color="auto" w:sz="4" w:space="0"/>
            </w:tcBorders>
            <w:noWrap w:val="0"/>
            <w:vAlign w:val="center"/>
          </w:tcPr>
          <w:p w14:paraId="3AEE2A7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14:paraId="76C5B5B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E4B7C2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6" w:type="dxa"/>
            <w:tcBorders>
              <w:top w:val="nil"/>
              <w:left w:val="nil"/>
              <w:bottom w:val="single" w:color="auto" w:sz="4" w:space="0"/>
              <w:right w:val="single" w:color="auto" w:sz="4" w:space="0"/>
            </w:tcBorders>
            <w:noWrap w:val="0"/>
            <w:vAlign w:val="center"/>
          </w:tcPr>
          <w:p w14:paraId="6E6E6EE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w:t>
            </w:r>
          </w:p>
        </w:tc>
      </w:tr>
      <w:tr w14:paraId="081C9DA4">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5D3174A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14:paraId="19C60B1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预期目标</w:t>
            </w:r>
          </w:p>
        </w:tc>
        <w:tc>
          <w:tcPr>
            <w:tcW w:w="3550" w:type="dxa"/>
            <w:gridSpan w:val="6"/>
            <w:tcBorders>
              <w:top w:val="single" w:color="auto" w:sz="4" w:space="0"/>
              <w:left w:val="nil"/>
              <w:bottom w:val="single" w:color="auto" w:sz="4" w:space="0"/>
              <w:right w:val="single" w:color="auto" w:sz="4" w:space="0"/>
            </w:tcBorders>
            <w:noWrap w:val="0"/>
            <w:vAlign w:val="center"/>
          </w:tcPr>
          <w:p w14:paraId="57182B6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实际完成情况</w:t>
            </w:r>
          </w:p>
        </w:tc>
      </w:tr>
      <w:tr w14:paraId="6DAD461B">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5BAC711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14:paraId="6A805DCB">
            <w:pPr>
              <w:keepNext w:val="0"/>
              <w:keepLines w:val="0"/>
              <w:widowControl/>
              <w:suppressLineNumbers w:val="0"/>
              <w:spacing w:before="0" w:beforeAutospacing="0" w:after="0" w:afterAutospacing="0" w:line="240" w:lineRule="exact"/>
              <w:ind w:left="0" w:leftChars="0" w:right="0" w:rightChars="0"/>
              <w:jc w:val="both"/>
              <w:rPr>
                <w:rFonts w:hint="eastAsia" w:ascii="宋体" w:hAnsi="宋体" w:eastAsia="宋体" w:cs="宋体"/>
                <w:kern w:val="0"/>
                <w:sz w:val="18"/>
                <w:szCs w:val="18"/>
                <w:lang w:eastAsia="zh-CN"/>
              </w:rPr>
            </w:pPr>
            <w:r>
              <w:rPr>
                <w:rFonts w:hint="eastAsia" w:ascii="宋体" w:hAnsi="宋体" w:eastAsia="宋体" w:cs="Times New Roman"/>
                <w:kern w:val="2"/>
                <w:sz w:val="11"/>
                <w:szCs w:val="11"/>
                <w:lang w:val="en-US" w:eastAsia="zh-CN" w:bidi="ar"/>
              </w:rPr>
              <w:t>运行良好、运转高效、公益惠民、服务便民，便利绿色出行、畅享绿色生活、减轻环境污染、缓解交通压力、维护市容秩序、助力文明创建、促进全民健身、普惠民生福祉。</w:t>
            </w:r>
          </w:p>
        </w:tc>
        <w:tc>
          <w:tcPr>
            <w:tcW w:w="3550" w:type="dxa"/>
            <w:gridSpan w:val="6"/>
            <w:tcBorders>
              <w:top w:val="single" w:color="auto" w:sz="4" w:space="0"/>
              <w:left w:val="nil"/>
              <w:bottom w:val="single" w:color="auto" w:sz="4" w:space="0"/>
              <w:right w:val="single" w:color="auto" w:sz="4" w:space="0"/>
            </w:tcBorders>
            <w:noWrap w:val="0"/>
            <w:vAlign w:val="center"/>
          </w:tcPr>
          <w:p w14:paraId="53344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leftChars="0" w:right="0" w:rightChars="0"/>
              <w:jc w:val="both"/>
              <w:textAlignment w:val="auto"/>
              <w:rPr>
                <w:rFonts w:hint="eastAsia" w:ascii="宋体" w:hAnsi="宋体" w:eastAsia="宋体" w:cs="宋体"/>
                <w:kern w:val="0"/>
                <w:sz w:val="18"/>
                <w:szCs w:val="18"/>
                <w:lang w:eastAsia="zh-CN"/>
              </w:rPr>
            </w:pPr>
            <w:r>
              <w:rPr>
                <w:rFonts w:hint="eastAsia" w:ascii="宋体" w:hAnsi="宋体" w:eastAsia="宋体" w:cs="Times New Roman"/>
                <w:kern w:val="2"/>
                <w:sz w:val="11"/>
                <w:szCs w:val="11"/>
                <w:lang w:val="en-US" w:eastAsia="zh-CN" w:bidi="ar"/>
              </w:rPr>
              <w:t>运行良好、运转高效、公益惠民、服务便民，便利绿色出行、畅享绿色生活、减轻环境污染、缓解交通压力、维护市容秩序、助力文明创建、促进全民健身、普惠民生福祉。</w:t>
            </w:r>
          </w:p>
        </w:tc>
      </w:tr>
      <w:tr w14:paraId="640DBB82">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5E0BD31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552A22A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3D28803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二级指标</w:t>
            </w:r>
          </w:p>
        </w:tc>
        <w:tc>
          <w:tcPr>
            <w:tcW w:w="1864" w:type="dxa"/>
            <w:gridSpan w:val="2"/>
            <w:tcBorders>
              <w:top w:val="single" w:color="auto" w:sz="4" w:space="0"/>
              <w:left w:val="nil"/>
              <w:bottom w:val="single" w:color="auto" w:sz="4" w:space="0"/>
              <w:right w:val="single" w:color="auto" w:sz="4" w:space="0"/>
            </w:tcBorders>
            <w:noWrap w:val="0"/>
            <w:vAlign w:val="center"/>
          </w:tcPr>
          <w:p w14:paraId="6B4A6EF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三级指标</w:t>
            </w:r>
          </w:p>
        </w:tc>
        <w:tc>
          <w:tcPr>
            <w:tcW w:w="1134" w:type="dxa"/>
            <w:tcBorders>
              <w:top w:val="nil"/>
              <w:left w:val="nil"/>
              <w:bottom w:val="single" w:color="auto" w:sz="4" w:space="0"/>
              <w:right w:val="single" w:color="auto" w:sz="4" w:space="0"/>
            </w:tcBorders>
            <w:noWrap w:val="0"/>
            <w:vAlign w:val="center"/>
          </w:tcPr>
          <w:p w14:paraId="31E793E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年度</w:t>
            </w:r>
          </w:p>
          <w:p w14:paraId="7F7F798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指标值</w:t>
            </w:r>
          </w:p>
        </w:tc>
        <w:tc>
          <w:tcPr>
            <w:tcW w:w="1134" w:type="dxa"/>
            <w:tcBorders>
              <w:top w:val="nil"/>
              <w:left w:val="nil"/>
              <w:bottom w:val="single" w:color="auto" w:sz="4" w:space="0"/>
              <w:right w:val="single" w:color="auto" w:sz="4" w:space="0"/>
            </w:tcBorders>
            <w:noWrap w:val="0"/>
            <w:vAlign w:val="center"/>
          </w:tcPr>
          <w:p w14:paraId="238E06F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实际</w:t>
            </w:r>
          </w:p>
          <w:p w14:paraId="1E99415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完成值</w:t>
            </w:r>
          </w:p>
        </w:tc>
        <w:tc>
          <w:tcPr>
            <w:tcW w:w="515" w:type="dxa"/>
            <w:tcBorders>
              <w:top w:val="nil"/>
              <w:left w:val="nil"/>
              <w:bottom w:val="single" w:color="auto" w:sz="4" w:space="0"/>
              <w:right w:val="single" w:color="auto" w:sz="4" w:space="0"/>
            </w:tcBorders>
            <w:noWrap w:val="0"/>
            <w:vAlign w:val="center"/>
          </w:tcPr>
          <w:p w14:paraId="6F521E8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14:paraId="7383DCD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得分</w:t>
            </w:r>
          </w:p>
        </w:tc>
        <w:tc>
          <w:tcPr>
            <w:tcW w:w="1346" w:type="dxa"/>
            <w:gridSpan w:val="2"/>
            <w:tcBorders>
              <w:top w:val="single" w:color="auto" w:sz="4" w:space="0"/>
              <w:left w:val="nil"/>
              <w:bottom w:val="single" w:color="auto" w:sz="4" w:space="0"/>
              <w:right w:val="single" w:color="auto" w:sz="4" w:space="0"/>
            </w:tcBorders>
            <w:noWrap w:val="0"/>
            <w:vAlign w:val="center"/>
          </w:tcPr>
          <w:p w14:paraId="5C2BA59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0F33B3A0">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14:paraId="12C36E4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0FF109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474F5D1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数量指标</w:t>
            </w:r>
          </w:p>
        </w:tc>
        <w:tc>
          <w:tcPr>
            <w:tcW w:w="1864" w:type="dxa"/>
            <w:gridSpan w:val="2"/>
            <w:tcBorders>
              <w:top w:val="single" w:color="auto" w:sz="4" w:space="0"/>
              <w:left w:val="nil"/>
              <w:bottom w:val="single" w:color="auto" w:sz="4" w:space="0"/>
              <w:right w:val="single" w:color="auto" w:sz="4" w:space="0"/>
            </w:tcBorders>
            <w:noWrap w:val="0"/>
            <w:vAlign w:val="center"/>
          </w:tcPr>
          <w:p w14:paraId="09BD4A2A">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全面</w:t>
            </w:r>
            <w:r>
              <w:rPr>
                <w:rFonts w:hint="eastAsia" w:ascii="宋体" w:hAnsi="宋体" w:eastAsia="宋体" w:cs="宋体"/>
                <w:color w:val="000000"/>
                <w:kern w:val="0"/>
                <w:sz w:val="18"/>
                <w:szCs w:val="18"/>
                <w:lang w:val="en-US" w:eastAsia="zh-CN"/>
              </w:rPr>
              <w:t>完成</w:t>
            </w:r>
          </w:p>
        </w:tc>
        <w:tc>
          <w:tcPr>
            <w:tcW w:w="1134" w:type="dxa"/>
            <w:tcBorders>
              <w:top w:val="nil"/>
              <w:left w:val="nil"/>
              <w:bottom w:val="single" w:color="auto" w:sz="4" w:space="0"/>
              <w:right w:val="single" w:color="auto" w:sz="4" w:space="0"/>
            </w:tcBorders>
            <w:noWrap w:val="0"/>
            <w:vAlign w:val="center"/>
          </w:tcPr>
          <w:p w14:paraId="6ECE91E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2500辆</w:t>
            </w:r>
          </w:p>
        </w:tc>
        <w:tc>
          <w:tcPr>
            <w:tcW w:w="1134" w:type="dxa"/>
            <w:tcBorders>
              <w:top w:val="nil"/>
              <w:left w:val="nil"/>
              <w:bottom w:val="single" w:color="auto" w:sz="4" w:space="0"/>
              <w:right w:val="single" w:color="auto" w:sz="4" w:space="0"/>
            </w:tcBorders>
            <w:noWrap w:val="0"/>
            <w:vAlign w:val="center"/>
          </w:tcPr>
          <w:p w14:paraId="7F5B7B2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2500辆</w:t>
            </w:r>
          </w:p>
        </w:tc>
        <w:tc>
          <w:tcPr>
            <w:tcW w:w="515" w:type="dxa"/>
            <w:tcBorders>
              <w:top w:val="nil"/>
              <w:left w:val="nil"/>
              <w:bottom w:val="single" w:color="auto" w:sz="4" w:space="0"/>
              <w:right w:val="single" w:color="auto" w:sz="4" w:space="0"/>
            </w:tcBorders>
            <w:noWrap w:val="0"/>
            <w:vAlign w:val="center"/>
          </w:tcPr>
          <w:p w14:paraId="09C1DAE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70233DB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14CDD7B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08E22C3A">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056C587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7E6036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099EB3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质量指标</w:t>
            </w:r>
          </w:p>
        </w:tc>
        <w:tc>
          <w:tcPr>
            <w:tcW w:w="1864" w:type="dxa"/>
            <w:gridSpan w:val="2"/>
            <w:tcBorders>
              <w:top w:val="single" w:color="auto" w:sz="4" w:space="0"/>
              <w:left w:val="nil"/>
              <w:bottom w:val="single" w:color="auto" w:sz="4" w:space="0"/>
              <w:right w:val="single" w:color="auto" w:sz="4" w:space="0"/>
            </w:tcBorders>
            <w:noWrap w:val="0"/>
            <w:vAlign w:val="center"/>
          </w:tcPr>
          <w:p w14:paraId="786B6813">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实现较好</w:t>
            </w:r>
          </w:p>
        </w:tc>
        <w:tc>
          <w:tcPr>
            <w:tcW w:w="1134" w:type="dxa"/>
            <w:tcBorders>
              <w:top w:val="nil"/>
              <w:left w:val="nil"/>
              <w:bottom w:val="single" w:color="auto" w:sz="4" w:space="0"/>
              <w:right w:val="single" w:color="auto" w:sz="4" w:space="0"/>
            </w:tcBorders>
            <w:noWrap w:val="0"/>
            <w:vAlign w:val="center"/>
          </w:tcPr>
          <w:p w14:paraId="2CA1D86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运行正常</w:t>
            </w:r>
          </w:p>
        </w:tc>
        <w:tc>
          <w:tcPr>
            <w:tcW w:w="1134" w:type="dxa"/>
            <w:tcBorders>
              <w:top w:val="nil"/>
              <w:left w:val="nil"/>
              <w:bottom w:val="single" w:color="auto" w:sz="4" w:space="0"/>
              <w:right w:val="single" w:color="auto" w:sz="4" w:space="0"/>
            </w:tcBorders>
            <w:noWrap w:val="0"/>
            <w:vAlign w:val="center"/>
          </w:tcPr>
          <w:p w14:paraId="0C7CF35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运行正常</w:t>
            </w:r>
          </w:p>
        </w:tc>
        <w:tc>
          <w:tcPr>
            <w:tcW w:w="515" w:type="dxa"/>
            <w:tcBorders>
              <w:top w:val="nil"/>
              <w:left w:val="nil"/>
              <w:bottom w:val="single" w:color="auto" w:sz="4" w:space="0"/>
              <w:right w:val="single" w:color="auto" w:sz="4" w:space="0"/>
            </w:tcBorders>
            <w:noWrap w:val="0"/>
            <w:vAlign w:val="center"/>
          </w:tcPr>
          <w:p w14:paraId="552D551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2DC8103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4284479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13643019">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14:paraId="544AD67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766F4C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339558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时效指标</w:t>
            </w:r>
          </w:p>
        </w:tc>
        <w:tc>
          <w:tcPr>
            <w:tcW w:w="1864" w:type="dxa"/>
            <w:gridSpan w:val="2"/>
            <w:tcBorders>
              <w:top w:val="single" w:color="auto" w:sz="4" w:space="0"/>
              <w:left w:val="nil"/>
              <w:bottom w:val="single" w:color="auto" w:sz="4" w:space="0"/>
              <w:right w:val="single" w:color="auto" w:sz="4" w:space="0"/>
            </w:tcBorders>
            <w:noWrap w:val="0"/>
            <w:vAlign w:val="center"/>
          </w:tcPr>
          <w:p w14:paraId="0B771C05">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按时完成</w:t>
            </w:r>
          </w:p>
        </w:tc>
        <w:tc>
          <w:tcPr>
            <w:tcW w:w="1134" w:type="dxa"/>
            <w:tcBorders>
              <w:top w:val="nil"/>
              <w:left w:val="nil"/>
              <w:bottom w:val="single" w:color="auto" w:sz="4" w:space="0"/>
              <w:right w:val="single" w:color="auto" w:sz="4" w:space="0"/>
            </w:tcBorders>
            <w:noWrap w:val="0"/>
            <w:vAlign w:val="center"/>
          </w:tcPr>
          <w:p w14:paraId="44B09B2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color w:val="000000"/>
                <w:kern w:val="0"/>
                <w:sz w:val="18"/>
                <w:szCs w:val="18"/>
                <w:lang w:eastAsia="zh-CN"/>
              </w:rPr>
              <w:t>服务高效</w:t>
            </w:r>
          </w:p>
        </w:tc>
        <w:tc>
          <w:tcPr>
            <w:tcW w:w="1134" w:type="dxa"/>
            <w:tcBorders>
              <w:top w:val="nil"/>
              <w:left w:val="nil"/>
              <w:bottom w:val="single" w:color="auto" w:sz="4" w:space="0"/>
              <w:right w:val="single" w:color="auto" w:sz="4" w:space="0"/>
            </w:tcBorders>
            <w:noWrap w:val="0"/>
            <w:vAlign w:val="center"/>
          </w:tcPr>
          <w:p w14:paraId="620EA8D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color w:val="000000"/>
                <w:kern w:val="0"/>
                <w:sz w:val="18"/>
                <w:szCs w:val="18"/>
                <w:lang w:eastAsia="zh-CN"/>
              </w:rPr>
              <w:t>服务高效</w:t>
            </w:r>
          </w:p>
        </w:tc>
        <w:tc>
          <w:tcPr>
            <w:tcW w:w="515" w:type="dxa"/>
            <w:tcBorders>
              <w:top w:val="nil"/>
              <w:left w:val="nil"/>
              <w:bottom w:val="single" w:color="auto" w:sz="4" w:space="0"/>
              <w:right w:val="single" w:color="auto" w:sz="4" w:space="0"/>
            </w:tcBorders>
            <w:noWrap w:val="0"/>
            <w:vAlign w:val="center"/>
          </w:tcPr>
          <w:p w14:paraId="78D975C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1068860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27B992D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30101560">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14:paraId="496CA09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1C26C4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47AF5C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成本指标</w:t>
            </w:r>
          </w:p>
        </w:tc>
        <w:tc>
          <w:tcPr>
            <w:tcW w:w="1864" w:type="dxa"/>
            <w:gridSpan w:val="2"/>
            <w:tcBorders>
              <w:top w:val="single" w:color="auto" w:sz="4" w:space="0"/>
              <w:left w:val="nil"/>
              <w:bottom w:val="single" w:color="auto" w:sz="4" w:space="0"/>
              <w:right w:val="single" w:color="auto" w:sz="4" w:space="0"/>
            </w:tcBorders>
            <w:noWrap w:val="0"/>
            <w:vAlign w:val="center"/>
          </w:tcPr>
          <w:p w14:paraId="1546E281">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成本控制</w:t>
            </w:r>
          </w:p>
        </w:tc>
        <w:tc>
          <w:tcPr>
            <w:tcW w:w="1134" w:type="dxa"/>
            <w:tcBorders>
              <w:top w:val="nil"/>
              <w:left w:val="nil"/>
              <w:bottom w:val="single" w:color="auto" w:sz="4" w:space="0"/>
              <w:right w:val="single" w:color="auto" w:sz="4" w:space="0"/>
            </w:tcBorders>
            <w:noWrap w:val="0"/>
            <w:vAlign w:val="center"/>
          </w:tcPr>
          <w:p w14:paraId="2F2F864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lang w:eastAsia="zh-CN"/>
              </w:rPr>
              <w:t>控制合理</w:t>
            </w:r>
          </w:p>
        </w:tc>
        <w:tc>
          <w:tcPr>
            <w:tcW w:w="1134" w:type="dxa"/>
            <w:tcBorders>
              <w:top w:val="nil"/>
              <w:left w:val="nil"/>
              <w:bottom w:val="single" w:color="auto" w:sz="4" w:space="0"/>
              <w:right w:val="single" w:color="auto" w:sz="4" w:space="0"/>
            </w:tcBorders>
            <w:noWrap w:val="0"/>
            <w:vAlign w:val="center"/>
          </w:tcPr>
          <w:p w14:paraId="1DE9CE3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lang w:eastAsia="zh-CN"/>
              </w:rPr>
              <w:t>控制合理</w:t>
            </w:r>
          </w:p>
        </w:tc>
        <w:tc>
          <w:tcPr>
            <w:tcW w:w="515" w:type="dxa"/>
            <w:tcBorders>
              <w:top w:val="nil"/>
              <w:left w:val="nil"/>
              <w:bottom w:val="single" w:color="auto" w:sz="4" w:space="0"/>
              <w:right w:val="single" w:color="auto" w:sz="4" w:space="0"/>
            </w:tcBorders>
            <w:noWrap w:val="0"/>
            <w:vAlign w:val="center"/>
          </w:tcPr>
          <w:p w14:paraId="763D106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7291BFD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3025DA8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284D0F4">
        <w:tblPrEx>
          <w:tblCellMar>
            <w:top w:w="0" w:type="dxa"/>
            <w:left w:w="108" w:type="dxa"/>
            <w:bottom w:w="0" w:type="dxa"/>
            <w:right w:w="108" w:type="dxa"/>
          </w:tblCellMar>
        </w:tblPrEx>
        <w:trPr>
          <w:trHeight w:val="1530" w:hRule="exact"/>
          <w:jc w:val="center"/>
        </w:trPr>
        <w:tc>
          <w:tcPr>
            <w:tcW w:w="588" w:type="dxa"/>
            <w:vMerge w:val="continue"/>
            <w:tcBorders>
              <w:left w:val="single" w:color="auto" w:sz="4" w:space="0"/>
              <w:right w:val="single" w:color="auto" w:sz="4" w:space="0"/>
            </w:tcBorders>
            <w:noWrap w:val="0"/>
            <w:vAlign w:val="center"/>
          </w:tcPr>
          <w:p w14:paraId="50C6807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D88E65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19342DB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经济效益</w:t>
            </w:r>
          </w:p>
          <w:p w14:paraId="1C88E64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14:paraId="18AEEDDD">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节约出行成本，促进假日经济，助力出行出游。</w:t>
            </w:r>
          </w:p>
        </w:tc>
        <w:tc>
          <w:tcPr>
            <w:tcW w:w="1134" w:type="dxa"/>
            <w:tcBorders>
              <w:top w:val="nil"/>
              <w:left w:val="nil"/>
              <w:bottom w:val="single" w:color="auto" w:sz="4" w:space="0"/>
              <w:right w:val="single" w:color="auto" w:sz="4" w:space="0"/>
            </w:tcBorders>
            <w:noWrap w:val="0"/>
            <w:vAlign w:val="center"/>
          </w:tcPr>
          <w:p w14:paraId="36BEB67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color w:val="000000"/>
                <w:kern w:val="0"/>
                <w:sz w:val="18"/>
                <w:szCs w:val="18"/>
                <w:lang w:eastAsia="zh-CN"/>
              </w:rPr>
              <w:t>节约出行成本，促进假日经济，助力出行出游。</w:t>
            </w:r>
          </w:p>
        </w:tc>
        <w:tc>
          <w:tcPr>
            <w:tcW w:w="1134" w:type="dxa"/>
            <w:tcBorders>
              <w:top w:val="nil"/>
              <w:left w:val="nil"/>
              <w:bottom w:val="single" w:color="auto" w:sz="4" w:space="0"/>
              <w:right w:val="single" w:color="auto" w:sz="4" w:space="0"/>
            </w:tcBorders>
            <w:noWrap w:val="0"/>
            <w:vAlign w:val="center"/>
          </w:tcPr>
          <w:p w14:paraId="24241CD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color w:val="000000"/>
                <w:kern w:val="0"/>
                <w:sz w:val="18"/>
                <w:szCs w:val="18"/>
                <w:lang w:eastAsia="zh-CN"/>
              </w:rPr>
              <w:t>节约出行成本</w:t>
            </w:r>
            <w:r>
              <w:rPr>
                <w:rFonts w:hint="eastAsia" w:ascii="宋体" w:hAnsi="宋体" w:eastAsia="宋体" w:cs="宋体"/>
                <w:color w:val="000000"/>
                <w:kern w:val="0"/>
                <w:sz w:val="18"/>
                <w:szCs w:val="18"/>
                <w:lang w:val="en-US" w:eastAsia="zh-CN"/>
              </w:rPr>
              <w:t>1075万元</w:t>
            </w:r>
            <w:r>
              <w:rPr>
                <w:rFonts w:hint="eastAsia" w:ascii="宋体" w:hAnsi="宋体" w:eastAsia="宋体" w:cs="宋体"/>
                <w:color w:val="000000"/>
                <w:kern w:val="0"/>
                <w:sz w:val="18"/>
                <w:szCs w:val="18"/>
                <w:lang w:eastAsia="zh-CN"/>
              </w:rPr>
              <w:t>，促进假日经济，助力出行出游。</w:t>
            </w:r>
          </w:p>
        </w:tc>
        <w:tc>
          <w:tcPr>
            <w:tcW w:w="515" w:type="dxa"/>
            <w:tcBorders>
              <w:top w:val="nil"/>
              <w:left w:val="nil"/>
              <w:bottom w:val="single" w:color="auto" w:sz="4" w:space="0"/>
              <w:right w:val="single" w:color="auto" w:sz="4" w:space="0"/>
            </w:tcBorders>
            <w:noWrap w:val="0"/>
            <w:vAlign w:val="center"/>
          </w:tcPr>
          <w:p w14:paraId="3A4914E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06CC527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0341DF2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407BC8AE">
        <w:tblPrEx>
          <w:tblCellMar>
            <w:top w:w="0" w:type="dxa"/>
            <w:left w:w="108" w:type="dxa"/>
            <w:bottom w:w="0" w:type="dxa"/>
            <w:right w:w="108" w:type="dxa"/>
          </w:tblCellMar>
        </w:tblPrEx>
        <w:trPr>
          <w:trHeight w:val="1560" w:hRule="exact"/>
          <w:jc w:val="center"/>
        </w:trPr>
        <w:tc>
          <w:tcPr>
            <w:tcW w:w="588" w:type="dxa"/>
            <w:vMerge w:val="continue"/>
            <w:tcBorders>
              <w:left w:val="single" w:color="auto" w:sz="4" w:space="0"/>
              <w:right w:val="single" w:color="auto" w:sz="4" w:space="0"/>
            </w:tcBorders>
            <w:noWrap w:val="0"/>
            <w:vAlign w:val="center"/>
          </w:tcPr>
          <w:p w14:paraId="3C9094F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0C61A8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A52B37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社会效益</w:t>
            </w:r>
          </w:p>
          <w:p w14:paraId="19DA27B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14:paraId="7FE2CC3B">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：公益惠民。</w:t>
            </w:r>
          </w:p>
        </w:tc>
        <w:tc>
          <w:tcPr>
            <w:tcW w:w="1134" w:type="dxa"/>
            <w:tcBorders>
              <w:top w:val="nil"/>
              <w:left w:val="nil"/>
              <w:bottom w:val="single" w:color="auto" w:sz="4" w:space="0"/>
              <w:right w:val="single" w:color="auto" w:sz="4" w:space="0"/>
            </w:tcBorders>
            <w:noWrap w:val="0"/>
            <w:vAlign w:val="center"/>
          </w:tcPr>
          <w:p w14:paraId="61F923CD">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val="en-US" w:eastAsia="zh-CN"/>
              </w:rPr>
              <w:t>维护市容秩序，助力文明创建。</w:t>
            </w:r>
          </w:p>
        </w:tc>
        <w:tc>
          <w:tcPr>
            <w:tcW w:w="1134" w:type="dxa"/>
            <w:tcBorders>
              <w:top w:val="nil"/>
              <w:left w:val="nil"/>
              <w:bottom w:val="single" w:color="auto" w:sz="4" w:space="0"/>
              <w:right w:val="single" w:color="auto" w:sz="4" w:space="0"/>
            </w:tcBorders>
            <w:noWrap w:val="0"/>
            <w:vAlign w:val="center"/>
          </w:tcPr>
          <w:p w14:paraId="6CB02B22">
            <w:pPr>
              <w:keepNext w:val="0"/>
              <w:keepLines w:val="0"/>
              <w:widowControl/>
              <w:suppressLineNumbers w:val="0"/>
              <w:spacing w:before="0" w:beforeAutospacing="0" w:after="0" w:afterAutospacing="0" w:line="240" w:lineRule="exact"/>
              <w:ind w:left="0" w:right="0"/>
              <w:jc w:val="both"/>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缓解交通压力，维护市容秩序，助力文明创建，促进全民健身。</w:t>
            </w:r>
          </w:p>
        </w:tc>
        <w:tc>
          <w:tcPr>
            <w:tcW w:w="515" w:type="dxa"/>
            <w:tcBorders>
              <w:top w:val="nil"/>
              <w:left w:val="nil"/>
              <w:bottom w:val="single" w:color="auto" w:sz="4" w:space="0"/>
              <w:right w:val="single" w:color="auto" w:sz="4" w:space="0"/>
            </w:tcBorders>
            <w:noWrap w:val="0"/>
            <w:vAlign w:val="center"/>
          </w:tcPr>
          <w:p w14:paraId="3C05F7B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14:paraId="4B155D1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46" w:type="dxa"/>
            <w:gridSpan w:val="2"/>
            <w:tcBorders>
              <w:top w:val="single" w:color="auto" w:sz="4" w:space="0"/>
              <w:left w:val="nil"/>
              <w:bottom w:val="single" w:color="auto" w:sz="4" w:space="0"/>
              <w:right w:val="single" w:color="auto" w:sz="4" w:space="0"/>
            </w:tcBorders>
            <w:noWrap w:val="0"/>
            <w:vAlign w:val="center"/>
          </w:tcPr>
          <w:p w14:paraId="1DDB135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00F94AE0">
        <w:tblPrEx>
          <w:tblCellMar>
            <w:top w:w="0" w:type="dxa"/>
            <w:left w:w="108" w:type="dxa"/>
            <w:bottom w:w="0" w:type="dxa"/>
            <w:right w:w="108" w:type="dxa"/>
          </w:tblCellMar>
        </w:tblPrEx>
        <w:trPr>
          <w:trHeight w:val="1095" w:hRule="exact"/>
          <w:jc w:val="center"/>
        </w:trPr>
        <w:tc>
          <w:tcPr>
            <w:tcW w:w="588" w:type="dxa"/>
            <w:vMerge w:val="continue"/>
            <w:tcBorders>
              <w:left w:val="single" w:color="auto" w:sz="4" w:space="0"/>
              <w:right w:val="single" w:color="auto" w:sz="4" w:space="0"/>
            </w:tcBorders>
            <w:noWrap w:val="0"/>
            <w:vAlign w:val="center"/>
          </w:tcPr>
          <w:p w14:paraId="4128541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06F8D8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9CAB98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生态效益</w:t>
            </w:r>
          </w:p>
          <w:p w14:paraId="3EFE627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14:paraId="5AF2357E">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维护生态环境。</w:t>
            </w:r>
          </w:p>
        </w:tc>
        <w:tc>
          <w:tcPr>
            <w:tcW w:w="1134" w:type="dxa"/>
            <w:tcBorders>
              <w:top w:val="nil"/>
              <w:left w:val="nil"/>
              <w:bottom w:val="single" w:color="auto" w:sz="4" w:space="0"/>
              <w:right w:val="single" w:color="auto" w:sz="4" w:space="0"/>
            </w:tcBorders>
            <w:noWrap w:val="0"/>
            <w:vAlign w:val="center"/>
          </w:tcPr>
          <w:p w14:paraId="30A227B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便利绿色出行，减轻环境污染。</w:t>
            </w:r>
          </w:p>
        </w:tc>
        <w:tc>
          <w:tcPr>
            <w:tcW w:w="1134" w:type="dxa"/>
            <w:tcBorders>
              <w:top w:val="nil"/>
              <w:left w:val="nil"/>
              <w:bottom w:val="single" w:color="auto" w:sz="4" w:space="0"/>
              <w:right w:val="single" w:color="auto" w:sz="4" w:space="0"/>
            </w:tcBorders>
            <w:noWrap w:val="0"/>
            <w:vAlign w:val="center"/>
          </w:tcPr>
          <w:p w14:paraId="555082F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lang w:eastAsia="zh-CN"/>
              </w:rPr>
              <w:t>减少二氧化碳排放</w:t>
            </w:r>
            <w:r>
              <w:rPr>
                <w:rFonts w:hint="eastAsia" w:ascii="宋体" w:hAnsi="宋体" w:eastAsia="宋体" w:cs="宋体"/>
                <w:kern w:val="0"/>
                <w:sz w:val="18"/>
                <w:szCs w:val="18"/>
                <w:lang w:val="en-US" w:eastAsia="zh-CN"/>
              </w:rPr>
              <w:t>1000吨，保护生态环境。</w:t>
            </w:r>
          </w:p>
        </w:tc>
        <w:tc>
          <w:tcPr>
            <w:tcW w:w="515" w:type="dxa"/>
            <w:tcBorders>
              <w:top w:val="nil"/>
              <w:left w:val="nil"/>
              <w:bottom w:val="single" w:color="auto" w:sz="4" w:space="0"/>
              <w:right w:val="single" w:color="auto" w:sz="4" w:space="0"/>
            </w:tcBorders>
            <w:noWrap w:val="0"/>
            <w:vAlign w:val="center"/>
          </w:tcPr>
          <w:p w14:paraId="72BEF58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5" w:type="dxa"/>
            <w:gridSpan w:val="2"/>
            <w:tcBorders>
              <w:top w:val="nil"/>
              <w:left w:val="nil"/>
              <w:bottom w:val="single" w:color="auto" w:sz="4" w:space="0"/>
              <w:right w:val="single" w:color="auto" w:sz="4" w:space="0"/>
            </w:tcBorders>
            <w:noWrap w:val="0"/>
            <w:vAlign w:val="center"/>
          </w:tcPr>
          <w:p w14:paraId="4751510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46" w:type="dxa"/>
            <w:gridSpan w:val="2"/>
            <w:tcBorders>
              <w:top w:val="single" w:color="auto" w:sz="4" w:space="0"/>
              <w:left w:val="nil"/>
              <w:bottom w:val="single" w:color="auto" w:sz="4" w:space="0"/>
              <w:right w:val="single" w:color="auto" w:sz="4" w:space="0"/>
            </w:tcBorders>
            <w:noWrap w:val="0"/>
            <w:vAlign w:val="center"/>
          </w:tcPr>
          <w:p w14:paraId="562EA93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5978E63B">
        <w:tblPrEx>
          <w:tblCellMar>
            <w:top w:w="0" w:type="dxa"/>
            <w:left w:w="108" w:type="dxa"/>
            <w:bottom w:w="0" w:type="dxa"/>
            <w:right w:w="108" w:type="dxa"/>
          </w:tblCellMar>
        </w:tblPrEx>
        <w:trPr>
          <w:trHeight w:val="945" w:hRule="exact"/>
          <w:jc w:val="center"/>
        </w:trPr>
        <w:tc>
          <w:tcPr>
            <w:tcW w:w="588" w:type="dxa"/>
            <w:vMerge w:val="continue"/>
            <w:tcBorders>
              <w:left w:val="single" w:color="auto" w:sz="4" w:space="0"/>
              <w:right w:val="single" w:color="auto" w:sz="4" w:space="0"/>
            </w:tcBorders>
            <w:noWrap w:val="0"/>
            <w:vAlign w:val="center"/>
          </w:tcPr>
          <w:p w14:paraId="7670CA9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035F18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DC8803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可持续影响指标</w:t>
            </w:r>
          </w:p>
        </w:tc>
        <w:tc>
          <w:tcPr>
            <w:tcW w:w="1864" w:type="dxa"/>
            <w:gridSpan w:val="2"/>
            <w:tcBorders>
              <w:top w:val="single" w:color="auto" w:sz="4" w:space="0"/>
              <w:left w:val="nil"/>
              <w:bottom w:val="single" w:color="auto" w:sz="4" w:space="0"/>
              <w:right w:val="single" w:color="auto" w:sz="4" w:space="0"/>
            </w:tcBorders>
            <w:noWrap w:val="0"/>
            <w:vAlign w:val="center"/>
          </w:tcPr>
          <w:p w14:paraId="646A068B">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持续发展。</w:t>
            </w:r>
          </w:p>
        </w:tc>
        <w:tc>
          <w:tcPr>
            <w:tcW w:w="1134" w:type="dxa"/>
            <w:tcBorders>
              <w:top w:val="nil"/>
              <w:left w:val="nil"/>
              <w:bottom w:val="single" w:color="auto" w:sz="4" w:space="0"/>
              <w:right w:val="single" w:color="auto" w:sz="4" w:space="0"/>
            </w:tcBorders>
            <w:noWrap w:val="0"/>
            <w:vAlign w:val="center"/>
          </w:tcPr>
          <w:p w14:paraId="0565C54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具有可持续影响。</w:t>
            </w:r>
          </w:p>
        </w:tc>
        <w:tc>
          <w:tcPr>
            <w:tcW w:w="1134" w:type="dxa"/>
            <w:tcBorders>
              <w:top w:val="nil"/>
              <w:left w:val="nil"/>
              <w:bottom w:val="single" w:color="auto" w:sz="4" w:space="0"/>
              <w:right w:val="single" w:color="auto" w:sz="4" w:space="0"/>
            </w:tcBorders>
            <w:noWrap w:val="0"/>
            <w:vAlign w:val="center"/>
          </w:tcPr>
          <w:p w14:paraId="070C0A30">
            <w:pPr>
              <w:keepNext w:val="0"/>
              <w:keepLines w:val="0"/>
              <w:widowControl/>
              <w:suppressLineNumbers w:val="0"/>
              <w:spacing w:before="0" w:beforeAutospacing="0" w:after="0" w:afterAutospacing="0" w:line="240" w:lineRule="exact"/>
              <w:ind w:left="0" w:right="0"/>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后续运行、成效发挥可储蓄影响较好。</w:t>
            </w:r>
          </w:p>
        </w:tc>
        <w:tc>
          <w:tcPr>
            <w:tcW w:w="515" w:type="dxa"/>
            <w:tcBorders>
              <w:top w:val="nil"/>
              <w:left w:val="nil"/>
              <w:bottom w:val="single" w:color="auto" w:sz="4" w:space="0"/>
              <w:right w:val="single" w:color="auto" w:sz="4" w:space="0"/>
            </w:tcBorders>
            <w:noWrap w:val="0"/>
            <w:vAlign w:val="center"/>
          </w:tcPr>
          <w:p w14:paraId="14618D9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5" w:type="dxa"/>
            <w:gridSpan w:val="2"/>
            <w:tcBorders>
              <w:top w:val="nil"/>
              <w:left w:val="nil"/>
              <w:bottom w:val="single" w:color="auto" w:sz="4" w:space="0"/>
              <w:right w:val="single" w:color="auto" w:sz="4" w:space="0"/>
            </w:tcBorders>
            <w:noWrap w:val="0"/>
            <w:vAlign w:val="center"/>
          </w:tcPr>
          <w:p w14:paraId="73961AF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46" w:type="dxa"/>
            <w:gridSpan w:val="2"/>
            <w:tcBorders>
              <w:top w:val="single" w:color="auto" w:sz="4" w:space="0"/>
              <w:left w:val="nil"/>
              <w:bottom w:val="single" w:color="auto" w:sz="4" w:space="0"/>
              <w:right w:val="single" w:color="auto" w:sz="4" w:space="0"/>
            </w:tcBorders>
            <w:noWrap w:val="0"/>
            <w:vAlign w:val="center"/>
          </w:tcPr>
          <w:p w14:paraId="58B302E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6E9B342">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14:paraId="484BE7B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14:paraId="1695F2B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满意度</w:t>
            </w:r>
          </w:p>
          <w:p w14:paraId="100FCE1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471CE66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64" w:type="dxa"/>
            <w:gridSpan w:val="2"/>
            <w:tcBorders>
              <w:top w:val="single" w:color="auto" w:sz="4" w:space="0"/>
              <w:left w:val="nil"/>
              <w:bottom w:val="single" w:color="auto" w:sz="4" w:space="0"/>
              <w:right w:val="single" w:color="auto" w:sz="4" w:space="0"/>
            </w:tcBorders>
            <w:noWrap w:val="0"/>
            <w:vAlign w:val="center"/>
          </w:tcPr>
          <w:p w14:paraId="754F50BB">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群众满意度</w:t>
            </w:r>
          </w:p>
        </w:tc>
        <w:tc>
          <w:tcPr>
            <w:tcW w:w="1134" w:type="dxa"/>
            <w:tcBorders>
              <w:top w:val="nil"/>
              <w:left w:val="nil"/>
              <w:bottom w:val="single" w:color="auto" w:sz="4" w:space="0"/>
              <w:right w:val="single" w:color="auto" w:sz="4" w:space="0"/>
            </w:tcBorders>
            <w:noWrap w:val="0"/>
            <w:vAlign w:val="center"/>
          </w:tcPr>
          <w:p w14:paraId="4BAEC62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tcBorders>
              <w:top w:val="nil"/>
              <w:left w:val="nil"/>
              <w:bottom w:val="single" w:color="auto" w:sz="4" w:space="0"/>
              <w:right w:val="single" w:color="auto" w:sz="4" w:space="0"/>
            </w:tcBorders>
            <w:noWrap w:val="0"/>
            <w:vAlign w:val="center"/>
          </w:tcPr>
          <w:p w14:paraId="0BEF2AA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15" w:type="dxa"/>
            <w:tcBorders>
              <w:top w:val="nil"/>
              <w:left w:val="nil"/>
              <w:bottom w:val="single" w:color="auto" w:sz="4" w:space="0"/>
              <w:right w:val="single" w:color="auto" w:sz="4" w:space="0"/>
            </w:tcBorders>
            <w:noWrap w:val="0"/>
            <w:vAlign w:val="center"/>
          </w:tcPr>
          <w:p w14:paraId="628E32C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5" w:type="dxa"/>
            <w:gridSpan w:val="2"/>
            <w:tcBorders>
              <w:top w:val="nil"/>
              <w:left w:val="nil"/>
              <w:bottom w:val="single" w:color="auto" w:sz="4" w:space="0"/>
              <w:right w:val="single" w:color="auto" w:sz="4" w:space="0"/>
            </w:tcBorders>
            <w:noWrap w:val="0"/>
            <w:vAlign w:val="center"/>
          </w:tcPr>
          <w:p w14:paraId="3F1403F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46" w:type="dxa"/>
            <w:gridSpan w:val="2"/>
            <w:tcBorders>
              <w:top w:val="single" w:color="auto" w:sz="4" w:space="0"/>
              <w:left w:val="nil"/>
              <w:bottom w:val="single" w:color="auto" w:sz="4" w:space="0"/>
              <w:right w:val="single" w:color="auto" w:sz="4" w:space="0"/>
            </w:tcBorders>
            <w:noWrap w:val="0"/>
            <w:vAlign w:val="center"/>
          </w:tcPr>
          <w:p w14:paraId="36FE83F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p>
        </w:tc>
      </w:tr>
      <w:tr w14:paraId="28AADB22">
        <w:tblPrEx>
          <w:tblCellMar>
            <w:top w:w="0" w:type="dxa"/>
            <w:left w:w="108" w:type="dxa"/>
            <w:bottom w:w="0" w:type="dxa"/>
            <w:right w:w="108" w:type="dxa"/>
          </w:tblCellMar>
        </w:tblPrEx>
        <w:trPr>
          <w:trHeight w:val="495" w:hRule="exact"/>
          <w:jc w:val="center"/>
        </w:trPr>
        <w:tc>
          <w:tcPr>
            <w:tcW w:w="6812" w:type="dxa"/>
            <w:gridSpan w:val="7"/>
            <w:tcBorders>
              <w:top w:val="single" w:color="auto" w:sz="4" w:space="0"/>
              <w:left w:val="single" w:color="auto" w:sz="4" w:space="0"/>
              <w:bottom w:val="single" w:color="auto" w:sz="4" w:space="0"/>
              <w:right w:val="single" w:color="auto" w:sz="4" w:space="0"/>
            </w:tcBorders>
            <w:noWrap w:val="0"/>
            <w:vAlign w:val="center"/>
          </w:tcPr>
          <w:p w14:paraId="60FA18B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15" w:type="dxa"/>
            <w:tcBorders>
              <w:top w:val="nil"/>
              <w:left w:val="nil"/>
              <w:bottom w:val="single" w:color="auto" w:sz="4" w:space="0"/>
              <w:right w:val="single" w:color="auto" w:sz="4" w:space="0"/>
            </w:tcBorders>
            <w:noWrap w:val="0"/>
            <w:vAlign w:val="center"/>
          </w:tcPr>
          <w:p w14:paraId="0C693BD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14:paraId="15E22C9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1346" w:type="dxa"/>
            <w:gridSpan w:val="2"/>
            <w:tcBorders>
              <w:top w:val="single" w:color="auto" w:sz="4" w:space="0"/>
              <w:left w:val="nil"/>
              <w:bottom w:val="single" w:color="auto" w:sz="4" w:space="0"/>
              <w:right w:val="single" w:color="auto" w:sz="4" w:space="0"/>
            </w:tcBorders>
            <w:noWrap w:val="0"/>
            <w:vAlign w:val="center"/>
          </w:tcPr>
          <w:p w14:paraId="792183B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bl>
    <w:p w14:paraId="1D15BA1F">
      <w:pPr>
        <w:keepNext w:val="0"/>
        <w:keepLines w:val="0"/>
        <w:widowControl w:val="0"/>
        <w:numPr>
          <w:ilvl w:val="0"/>
          <w:numId w:val="0"/>
        </w:numPr>
        <w:suppressLineNumbers w:val="0"/>
        <w:spacing w:before="0" w:beforeAutospacing="0" w:after="0" w:afterAutospacing="0" w:line="580" w:lineRule="exact"/>
        <w:ind w:right="0" w:rightChars="0"/>
        <w:jc w:val="both"/>
        <w:rPr>
          <w:rFonts w:hint="default" w:ascii="仿宋_GB2312" w:hAnsi="宋体" w:eastAsia="仿宋_GB2312" w:cs="仿宋_GB2312"/>
          <w:color w:val="000000"/>
          <w:kern w:val="0"/>
          <w:sz w:val="31"/>
          <w:szCs w:val="31"/>
          <w:lang w:val="en-US" w:eastAsia="zh-CN" w:bidi="ar"/>
        </w:rPr>
      </w:pPr>
    </w:p>
    <w:p w14:paraId="0B6AC861">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ascii="仿宋_GB2312" w:hAnsi="仿宋_GB2312" w:eastAsia="仿宋_GB2312" w:cs="仿宋_GB2312"/>
          <w:spacing w:val="4"/>
          <w:w w:val="95"/>
          <w:kern w:val="2"/>
          <w:sz w:val="32"/>
          <w:szCs w:val="32"/>
          <w:lang w:val="zh-CN" w:eastAsia="zh-CN" w:bidi="zh-CN"/>
        </w:rPr>
      </w:pPr>
      <w:r>
        <w:rPr>
          <w:rFonts w:hint="eastAsia" w:ascii="黑体" w:hAnsi="仿宋_GB2312" w:eastAsia="黑体" w:cs="仿宋_GB2312"/>
          <w:kern w:val="2"/>
          <w:sz w:val="32"/>
          <w:szCs w:val="32"/>
          <w:lang w:val="en-US" w:eastAsia="zh-CN" w:bidi="zh-CN"/>
        </w:rPr>
        <w:t>四、</w:t>
      </w:r>
      <w:r>
        <w:rPr>
          <w:rFonts w:hint="eastAsia" w:ascii="黑体" w:hAnsi="仿宋_GB2312" w:eastAsia="黑体" w:cs="仿宋_GB2312"/>
          <w:kern w:val="2"/>
          <w:sz w:val="32"/>
          <w:szCs w:val="32"/>
          <w:lang w:val="zh-CN" w:eastAsia="zh-CN" w:bidi="zh-CN"/>
        </w:rPr>
        <w:t>绩效评价指标分析</w:t>
      </w:r>
      <w:r>
        <w:rPr>
          <w:rFonts w:ascii="仿宋_GB2312" w:hAnsi="仿宋_GB2312" w:eastAsia="仿宋_GB2312" w:cs="仿宋_GB2312"/>
          <w:spacing w:val="4"/>
          <w:w w:val="95"/>
          <w:kern w:val="2"/>
          <w:sz w:val="32"/>
          <w:szCs w:val="32"/>
          <w:lang w:val="zh-CN" w:eastAsia="zh-CN" w:bidi="zh-CN"/>
        </w:rPr>
        <w:t>（可附表进行分析）</w:t>
      </w:r>
    </w:p>
    <w:p w14:paraId="3DBBF24A">
      <w:pPr>
        <w:keepNext w:val="0"/>
        <w:keepLines w:val="0"/>
        <w:widowControl w:val="0"/>
        <w:numPr>
          <w:ilvl w:val="0"/>
          <w:numId w:val="0"/>
        </w:numPr>
        <w:suppressLineNumbers w:val="0"/>
        <w:spacing w:before="0" w:beforeAutospacing="0" w:after="0" w:afterAutospacing="0" w:line="580" w:lineRule="exact"/>
        <w:ind w:right="0" w:rightChars="0" w:firstLine="624" w:firstLineChars="200"/>
        <w:jc w:val="both"/>
        <w:rPr>
          <w:rFonts w:hint="default" w:ascii="仿宋_GB2312" w:hAnsi="宋体" w:eastAsia="仿宋_GB2312" w:cs="仿宋_GB2312"/>
          <w:color w:val="000000"/>
          <w:kern w:val="0"/>
          <w:sz w:val="31"/>
          <w:szCs w:val="31"/>
          <w:lang w:val="en-US" w:eastAsia="zh-CN" w:bidi="ar"/>
        </w:rPr>
      </w:pPr>
      <w:r>
        <w:rPr>
          <w:rFonts w:ascii="仿宋_GB2312" w:hAnsi="仿宋_GB2312" w:eastAsia="仿宋_GB2312" w:cs="仿宋_GB2312"/>
          <w:spacing w:val="4"/>
          <w:w w:val="95"/>
          <w:kern w:val="2"/>
          <w:sz w:val="32"/>
          <w:szCs w:val="32"/>
          <w:lang w:val="zh-CN" w:eastAsia="zh-CN" w:bidi="zh-CN"/>
        </w:rPr>
        <w:t>（一）项目决策情况。</w:t>
      </w:r>
      <w:r>
        <w:rPr>
          <w:rFonts w:hint="eastAsia" w:ascii="仿宋" w:hAnsi="仿宋" w:eastAsia="仿宋" w:cs="仿宋"/>
          <w:kern w:val="0"/>
          <w:sz w:val="32"/>
          <w:szCs w:val="32"/>
          <w:lang w:val="en-US" w:eastAsia="zh-CN" w:bidi="ar"/>
        </w:rPr>
        <w:t>为切实保障市民绿色、便捷、安全、高效出行，增强为民服务能力，推进绿色生活创建，助力绿色低碳发展，坚持以习近平生态文明思想为指导，认真按照《安徽省人民政府办公厅关于大力倡导低碳绿色出行的指导意见》《淮北市人民政府办公室关于印发淮北市低碳绿色出行和停车设施规划建设实施方案的通知》《淮北市城市步行和自行车交通系统规划（2018-2035年）》，发展公共自行车公益服务。项目定位为政府支持、公益便民、优质服务、持续发展，突出功能为接驳换乘、短途出行、健身休闲、绿色低碳，运作模式为自助操作、智能管理、限时免费、通借通还，成为城市公共交通系统的重要补充，形成较为完善的公益、低碳、绿色、环保公共交通出行网络，</w:t>
      </w:r>
      <w:r>
        <w:rPr>
          <w:rFonts w:hint="eastAsia" w:ascii="仿宋" w:hAnsi="仿宋" w:eastAsia="仿宋" w:cs="Times New Roman"/>
          <w:sz w:val="32"/>
          <w:szCs w:val="32"/>
          <w:lang w:val="en-US" w:eastAsia="zh-CN" w:bidi="ar"/>
        </w:rPr>
        <w:t>以其公益性、普惠性、经济性、生态性、便民性满足了市民“最初一公里”和“最后一公里”中短距离通勤、休闲、旅游、购物、健身等公共交通绿色出行需求，广受社会欢迎。</w:t>
      </w:r>
      <w:r>
        <w:rPr>
          <w:rFonts w:hint="default" w:ascii="仿宋_GB2312" w:hAnsi="宋体" w:eastAsia="仿宋_GB2312" w:cs="仿宋_GB2312"/>
          <w:color w:val="000000"/>
          <w:kern w:val="0"/>
          <w:sz w:val="31"/>
          <w:szCs w:val="31"/>
          <w:lang w:val="en-US" w:eastAsia="zh-CN" w:bidi="ar"/>
        </w:rPr>
        <w:t>项目与城市管理局职责负责全市公共自行车服务系统建设、监管、考核工作相符。项目立项依据充分。</w:t>
      </w:r>
    </w:p>
    <w:p w14:paraId="769A4CCD">
      <w:pPr>
        <w:keepNext w:val="0"/>
        <w:keepLines w:val="0"/>
        <w:widowControl w:val="0"/>
        <w:numPr>
          <w:ilvl w:val="0"/>
          <w:numId w:val="0"/>
        </w:numPr>
        <w:suppressLineNumbers w:val="0"/>
        <w:spacing w:before="0" w:beforeAutospacing="0" w:after="0" w:afterAutospacing="0" w:line="580" w:lineRule="exact"/>
        <w:ind w:right="0" w:rightChars="0" w:firstLine="624" w:firstLineChars="200"/>
        <w:jc w:val="both"/>
        <w:rPr>
          <w:rFonts w:hint="eastAsia" w:ascii="仿宋" w:hAnsi="仿宋" w:eastAsia="仿宋" w:cs="仿宋"/>
          <w:kern w:val="0"/>
          <w:sz w:val="32"/>
          <w:szCs w:val="32"/>
          <w:lang w:val="en-US" w:eastAsia="zh-CN" w:bidi="ar"/>
        </w:rPr>
      </w:pPr>
      <w:r>
        <w:rPr>
          <w:rFonts w:ascii="仿宋_GB2312" w:hAnsi="仿宋_GB2312" w:eastAsia="仿宋_GB2312" w:cs="仿宋_GB2312"/>
          <w:spacing w:val="4"/>
          <w:w w:val="95"/>
          <w:kern w:val="2"/>
          <w:sz w:val="32"/>
          <w:szCs w:val="32"/>
          <w:lang w:val="zh-CN" w:eastAsia="zh-CN" w:bidi="zh-CN"/>
        </w:rPr>
        <w:t>（二）项目过程情况。</w:t>
      </w:r>
      <w:r>
        <w:rPr>
          <w:rFonts w:hint="default" w:ascii="仿宋_GB2312" w:hAnsi="宋体" w:eastAsia="仿宋_GB2312" w:cs="仿宋_GB2312"/>
          <w:color w:val="000000"/>
          <w:kern w:val="0"/>
          <w:sz w:val="31"/>
          <w:szCs w:val="31"/>
          <w:lang w:val="en-US" w:eastAsia="zh-CN" w:bidi="ar"/>
        </w:rPr>
        <w:t>2014年1月27日淮北市人民政府办公室印发了淮政办秘〔2014〕11号《淮北市人民政府办公室关于印发公共自行车服务系统建设实施方案的通知》，要求结合实际，认真抓好落实。</w:t>
      </w:r>
      <w:r>
        <w:rPr>
          <w:rFonts w:hint="eastAsia" w:ascii="仿宋_GB2312" w:hAnsi="宋体" w:eastAsia="仿宋_GB2312" w:cs="仿宋_GB2312"/>
          <w:color w:val="000000"/>
          <w:kern w:val="0"/>
          <w:sz w:val="31"/>
          <w:szCs w:val="31"/>
          <w:lang w:val="en-US" w:eastAsia="zh-CN" w:bidi="ar"/>
        </w:rPr>
        <w:t>2018年11月4日淮北市人民政府专题会议纪要第190号《市公共自行车一期项目延续和四期项目建设专题会议纪要》同意公共自行车四期项目建设，计划新增公共自行车2500辆，建设站点70个。项目过程：一是实行市场化运作。把公共自行车项目建设作为一项公益惠民工程，列入年度财政预算加以保障。采取“财政全额投资、专业经营服务、政府监督管理”的运作模式，由政府向企业购买服务，实行专业团队公司运作、专业技术规范经营。在监督考核上，成立了公共自行车管理中心，制定了专门的考核办法，一日一督查、一月一通报、一年一考核，由城管部门代表政府负责对公共自行车站点运行、锁桩管理、车辆状况、运转调度、客户服务实施数字化监控、综合性考评，根据考评情况兑现考核费用。通过市场机制实现资源的有效配置，确保了项目快速推进、高效运营，营造出文明、健康、有序的交通出行环境，充分彰显了文明城市绿色生活的理念。二是实行阳光化操作。在实施环节，广泛征求意见，确定最佳方案；在招标环节，严格程序，公开招标，择优遴选，最终确定了在全国200多个城市拥有成功建设经验的上市企业——永安行科技股份有限公司负责承建和运营；在选址环节，将布点方案公开发布，综合合理意见，根据现场条件，由城管、规划、建设、交通、公安等部门及时进行反复甄选、比较、调整，协调解决实际困难，最终确定站点选址和车辆投放数量，基本覆盖了居民出行的热点区域，体现了布点的科学性；在管理环节，用户在站点刷卡或扫码借车，到达目的地后归还到就近站点，使用者可以随走随停，方便，快捷。用户的借还车信息、消费信息，可在站点智能控制柜进行查询，提供给用户公开、安全的优质服务。三是实行科学化协作。公共自行车服务系统建设涉及到区县及有关职能部门，成立了以分管副市长为组长、相关部门负责同志为成员的市公共自行车服务系统建设和管理工作领导</w:t>
      </w:r>
      <w:r>
        <w:rPr>
          <w:rFonts w:hint="eastAsia" w:ascii="仿宋" w:hAnsi="仿宋" w:eastAsia="仿宋" w:cs="仿宋"/>
          <w:kern w:val="0"/>
          <w:sz w:val="32"/>
          <w:szCs w:val="32"/>
          <w:lang w:val="en-US" w:eastAsia="zh-CN" w:bidi="ar"/>
        </w:rPr>
        <w:t>小组，市城管局牵头实施，各成员单位各司其职、各负其责，密切配合、协同推进。针对淮北北高南低、市矿交错、县区组团式布局等特点，遵循成网成系、方便换乘、景观协调、远近结合的布点原则，以人口密集度作为选址重点，依托公共交通站点设置，兼顾周边人口集中公共区域，综合考虑人流车流、地势形态等实际情况，以及现场道路、管线迁移等现实因素，合理确定公共自行车点位布设、桩位数量和空间密度。</w:t>
      </w:r>
    </w:p>
    <w:p w14:paraId="356B435A">
      <w:pPr>
        <w:keepNext w:val="0"/>
        <w:keepLines w:val="0"/>
        <w:widowControl w:val="0"/>
        <w:numPr>
          <w:ilvl w:val="0"/>
          <w:numId w:val="0"/>
        </w:numPr>
        <w:suppressLineNumbers w:val="0"/>
        <w:spacing w:before="0" w:beforeAutospacing="0" w:after="0" w:afterAutospacing="0" w:line="580" w:lineRule="exact"/>
        <w:ind w:right="0" w:rightChars="0" w:firstLine="624" w:firstLineChars="200"/>
        <w:jc w:val="both"/>
        <w:rPr>
          <w:rFonts w:hint="default" w:ascii="仿宋_GB2312" w:hAnsi="宋体" w:eastAsia="仿宋_GB2312" w:cs="仿宋_GB2312"/>
          <w:color w:val="000000"/>
          <w:kern w:val="0"/>
          <w:sz w:val="31"/>
          <w:szCs w:val="31"/>
          <w:lang w:val="en-US" w:eastAsia="zh-CN" w:bidi="ar"/>
        </w:rPr>
      </w:pPr>
      <w:r>
        <w:rPr>
          <w:rFonts w:ascii="仿宋_GB2312" w:hAnsi="仿宋_GB2312" w:eastAsia="仿宋_GB2312" w:cs="仿宋_GB2312"/>
          <w:spacing w:val="4"/>
          <w:w w:val="95"/>
          <w:kern w:val="2"/>
          <w:sz w:val="32"/>
          <w:szCs w:val="32"/>
          <w:lang w:val="zh-CN" w:eastAsia="zh-CN" w:bidi="zh-CN"/>
        </w:rPr>
        <w:t>（三）项目产出情况。</w:t>
      </w:r>
      <w:bookmarkStart w:id="13" w:name="_Toc20134"/>
      <w:bookmarkStart w:id="14" w:name="_Toc24610"/>
      <w:bookmarkStart w:id="15" w:name="_Toc5894"/>
      <w:bookmarkStart w:id="16" w:name="_Toc3259"/>
      <w:bookmarkStart w:id="17" w:name="_Toc22724"/>
      <w:r>
        <w:rPr>
          <w:rFonts w:hint="default" w:ascii="仿宋_GB2312" w:hAnsi="宋体" w:eastAsia="仿宋_GB2312" w:cs="仿宋_GB2312"/>
          <w:color w:val="000000"/>
          <w:kern w:val="0"/>
          <w:sz w:val="31"/>
          <w:szCs w:val="31"/>
          <w:lang w:val="en-US" w:eastAsia="zh-CN" w:bidi="ar"/>
        </w:rPr>
        <w:t>产出数量</w:t>
      </w:r>
      <w:bookmarkEnd w:id="13"/>
      <w:bookmarkEnd w:id="14"/>
      <w:bookmarkEnd w:id="15"/>
      <w:bookmarkEnd w:id="16"/>
      <w:bookmarkEnd w:id="17"/>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2"/>
          <w:szCs w:val="32"/>
          <w:lang w:val="en-US" w:eastAsia="zh-CN" w:bidi="ar"/>
        </w:rPr>
        <w:t>投放公共自行车</w:t>
      </w:r>
      <w:r>
        <w:rPr>
          <w:rFonts w:hint="eastAsia" w:ascii="仿宋_GB2312" w:hAnsi="宋体" w:eastAsia="仿宋_GB2312" w:cs="仿宋_GB2312"/>
          <w:color w:val="000000"/>
          <w:kern w:val="0"/>
          <w:sz w:val="32"/>
          <w:szCs w:val="32"/>
          <w:lang w:val="en-US" w:eastAsia="zh-CN" w:bidi="ar"/>
        </w:rPr>
        <w:t>25</w:t>
      </w:r>
      <w:r>
        <w:rPr>
          <w:rFonts w:hint="default" w:ascii="仿宋_GB2312" w:hAnsi="宋体" w:eastAsia="仿宋_GB2312" w:cs="仿宋_GB2312"/>
          <w:color w:val="000000"/>
          <w:kern w:val="0"/>
          <w:sz w:val="32"/>
          <w:szCs w:val="32"/>
          <w:lang w:val="en-US" w:eastAsia="zh-CN" w:bidi="ar"/>
        </w:rPr>
        <w:t>00辆，</w:t>
      </w:r>
      <w:r>
        <w:rPr>
          <w:rFonts w:hint="eastAsia" w:ascii="仿宋_GB2312" w:hAnsi="宋体" w:eastAsia="仿宋_GB2312" w:cs="仿宋_GB2312"/>
          <w:color w:val="000000"/>
          <w:kern w:val="0"/>
          <w:sz w:val="31"/>
          <w:szCs w:val="31"/>
          <w:lang w:val="en-US" w:eastAsia="zh-CN" w:bidi="ar"/>
        </w:rPr>
        <w:t>新增设站点70个，</w:t>
      </w:r>
      <w:r>
        <w:rPr>
          <w:rFonts w:hint="default" w:ascii="仿宋_GB2312" w:hAnsi="宋体" w:eastAsia="仿宋_GB2312" w:cs="仿宋_GB2312"/>
          <w:color w:val="000000"/>
          <w:kern w:val="0"/>
          <w:sz w:val="32"/>
          <w:szCs w:val="32"/>
          <w:lang w:val="en-US" w:eastAsia="zh-CN" w:bidi="ar"/>
        </w:rPr>
        <w:t>步行和自行车出行条件明显改善，</w:t>
      </w:r>
      <w:r>
        <w:rPr>
          <w:rFonts w:hint="eastAsia" w:ascii="仿宋_GB2312" w:hAnsi="宋体" w:eastAsia="仿宋_GB2312" w:cs="仿宋_GB2312"/>
          <w:color w:val="000000"/>
          <w:kern w:val="0"/>
          <w:sz w:val="32"/>
          <w:szCs w:val="32"/>
          <w:lang w:val="en-US" w:eastAsia="zh-CN" w:bidi="ar"/>
        </w:rPr>
        <w:t>形</w:t>
      </w:r>
      <w:r>
        <w:rPr>
          <w:rFonts w:hint="default" w:ascii="仿宋_GB2312" w:hAnsi="宋体" w:eastAsia="仿宋_GB2312" w:cs="仿宋_GB2312"/>
          <w:color w:val="000000"/>
          <w:kern w:val="0"/>
          <w:sz w:val="32"/>
          <w:szCs w:val="32"/>
          <w:lang w:val="en-US" w:eastAsia="zh-CN" w:bidi="ar"/>
        </w:rPr>
        <w:t>成了较为完善的城市公共自行车系统</w:t>
      </w:r>
      <w:r>
        <w:rPr>
          <w:rFonts w:hint="eastAsia" w:ascii="仿宋_GB2312" w:hAnsi="宋体" w:eastAsia="仿宋_GB2312" w:cs="仿宋_GB2312"/>
          <w:color w:val="000000"/>
          <w:kern w:val="0"/>
          <w:sz w:val="32"/>
          <w:szCs w:val="32"/>
          <w:lang w:val="en-US" w:eastAsia="zh-CN" w:bidi="ar"/>
        </w:rPr>
        <w:t>。</w:t>
      </w:r>
      <w:bookmarkStart w:id="18" w:name="_Toc25657"/>
      <w:bookmarkStart w:id="19" w:name="_Toc25579"/>
      <w:bookmarkStart w:id="20" w:name="_Toc5656"/>
      <w:bookmarkStart w:id="21" w:name="_Toc16179"/>
      <w:bookmarkStart w:id="22" w:name="_Toc27917"/>
      <w:r>
        <w:rPr>
          <w:rFonts w:hint="default" w:ascii="仿宋_GB2312" w:hAnsi="宋体" w:eastAsia="仿宋_GB2312" w:cs="仿宋_GB2312"/>
          <w:color w:val="000000"/>
          <w:kern w:val="0"/>
          <w:sz w:val="31"/>
          <w:szCs w:val="31"/>
          <w:lang w:val="en-US" w:eastAsia="zh-CN" w:bidi="ar"/>
        </w:rPr>
        <w:t>产出质量</w:t>
      </w:r>
      <w:bookmarkEnd w:id="18"/>
      <w:bookmarkEnd w:id="19"/>
      <w:bookmarkEnd w:id="20"/>
      <w:bookmarkEnd w:id="21"/>
      <w:bookmarkEnd w:id="22"/>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步行和自行车交通系统建设评比获全省第一名，阶段目标完成质量较高。淮北市公共自行车运行效率与周边城市相比效率较高。公共自行车使用人群进入相对稳定阶段</w:t>
      </w:r>
      <w:bookmarkStart w:id="23" w:name="_Toc2394"/>
      <w:bookmarkStart w:id="24" w:name="_Toc15586"/>
      <w:bookmarkStart w:id="25" w:name="_Toc26930"/>
      <w:bookmarkStart w:id="26" w:name="_Toc15553"/>
      <w:bookmarkStart w:id="27" w:name="_Toc3431"/>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产出时效</w:t>
      </w:r>
      <w:bookmarkEnd w:id="23"/>
      <w:bookmarkEnd w:id="24"/>
      <w:bookmarkEnd w:id="25"/>
      <w:bookmarkEnd w:id="26"/>
      <w:bookmarkEnd w:id="27"/>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锁车器设施按合同约定及监管方要求及时完成</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软件设施、自行车投放均按合同约定及时完成。</w:t>
      </w:r>
      <w:bookmarkStart w:id="28" w:name="_Toc10150"/>
      <w:bookmarkStart w:id="29" w:name="_Toc4733"/>
      <w:bookmarkStart w:id="30" w:name="_Toc20775"/>
      <w:bookmarkStart w:id="31" w:name="_Toc8136"/>
      <w:bookmarkStart w:id="32" w:name="_Toc8701"/>
      <w:r>
        <w:rPr>
          <w:rFonts w:hint="default" w:ascii="仿宋_GB2312" w:hAnsi="宋体" w:eastAsia="仿宋_GB2312" w:cs="仿宋_GB2312"/>
          <w:color w:val="000000"/>
          <w:kern w:val="0"/>
          <w:sz w:val="31"/>
          <w:szCs w:val="31"/>
          <w:lang w:val="en-US" w:eastAsia="zh-CN" w:bidi="ar"/>
        </w:rPr>
        <w:t>产出成本</w:t>
      </w:r>
      <w:bookmarkEnd w:id="28"/>
      <w:bookmarkEnd w:id="29"/>
      <w:bookmarkEnd w:id="30"/>
      <w:bookmarkEnd w:id="31"/>
      <w:bookmarkEnd w:id="32"/>
      <w:r>
        <w:rPr>
          <w:rFonts w:hint="default" w:ascii="仿宋_GB2312" w:hAnsi="宋体" w:eastAsia="仿宋_GB2312" w:cs="仿宋_GB2312"/>
          <w:color w:val="000000"/>
          <w:kern w:val="0"/>
          <w:sz w:val="31"/>
          <w:szCs w:val="31"/>
          <w:lang w:val="en-US" w:eastAsia="zh-CN" w:bidi="ar"/>
        </w:rPr>
        <w:tab/>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项目投资控制率为99.27%。以徐州市、常熟市、濉溪县单车年均运行成本进行比较，淮北市单车年均总成本水平处于合理范围内。</w:t>
      </w:r>
    </w:p>
    <w:p w14:paraId="326BA8DC">
      <w:pPr>
        <w:keepNext w:val="0"/>
        <w:keepLines w:val="0"/>
        <w:widowControl w:val="0"/>
        <w:numPr>
          <w:ilvl w:val="0"/>
          <w:numId w:val="0"/>
        </w:numPr>
        <w:suppressLineNumbers w:val="0"/>
        <w:spacing w:before="0" w:beforeAutospacing="0" w:after="0" w:afterAutospacing="0" w:line="580" w:lineRule="exact"/>
        <w:ind w:right="0" w:rightChars="0" w:firstLine="624" w:firstLineChars="200"/>
        <w:jc w:val="both"/>
        <w:rPr>
          <w:rFonts w:ascii="仿宋_GB2312" w:hAnsi="仿宋_GB2312" w:eastAsia="仿宋_GB2312" w:cs="仿宋_GB2312"/>
          <w:spacing w:val="4"/>
          <w:w w:val="95"/>
          <w:kern w:val="2"/>
          <w:sz w:val="32"/>
          <w:szCs w:val="32"/>
          <w:lang w:val="zh-CN" w:eastAsia="zh-CN" w:bidi="zh-CN"/>
        </w:rPr>
      </w:pPr>
      <w:r>
        <w:rPr>
          <w:rFonts w:ascii="仿宋_GB2312" w:hAnsi="仿宋_GB2312" w:eastAsia="仿宋_GB2312" w:cs="仿宋_GB2312"/>
          <w:spacing w:val="4"/>
          <w:w w:val="95"/>
          <w:kern w:val="2"/>
          <w:sz w:val="32"/>
          <w:szCs w:val="32"/>
          <w:lang w:val="zh-CN" w:eastAsia="zh-CN" w:bidi="zh-CN"/>
        </w:rPr>
        <w:t>（四）项目效益情况。</w:t>
      </w:r>
    </w:p>
    <w:p w14:paraId="3DC4DE95">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社会效益：统计分析出行目的骑车上班和日常生活占比66.6%，使用习惯天天使用和经常使用的占比44.65%，自行车出行已深度融入市民工作生活中；出行方式单独使用自行车到达目的地及与步行搭配方式出行占78.24%，反映了对使用自行车出行的依赖程度较高；出行理念经济省时环保占比例73.36%，反映出政府号召得到市民积极响应；项目实施增加就业岗位；使用人年龄结构26-50岁比例52.71%，使用人年龄结构相对稳定；2018年获淮北市妇女联合会颁发《巾帼文明岗》、2019年获安徽省妇女联合会颁发《巾帼文明岗》，项目实施对城市文明形象的提升起到了积极作用。</w:t>
      </w:r>
    </w:p>
    <w:p w14:paraId="5087E085">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经济效益</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按照公共自行车平均每次运行时间21.68分钟至 31.17分钟分析，</w:t>
      </w:r>
      <w:r>
        <w:rPr>
          <w:rFonts w:hint="eastAsia" w:ascii="仿宋" w:hAnsi="仿宋" w:eastAsia="仿宋" w:cs="Times New Roman"/>
          <w:sz w:val="32"/>
          <w:szCs w:val="32"/>
          <w:lang w:val="en-US" w:eastAsia="zh-CN" w:bidi="ar"/>
        </w:rPr>
        <w:t>每年可为市民节约出行成本1075万元。</w:t>
      </w:r>
      <w:r>
        <w:rPr>
          <w:rFonts w:hint="default" w:ascii="仿宋_GB2312" w:hAnsi="宋体" w:eastAsia="仿宋_GB2312" w:cs="仿宋_GB2312"/>
          <w:color w:val="000000"/>
          <w:kern w:val="0"/>
          <w:sz w:val="31"/>
          <w:szCs w:val="31"/>
          <w:lang w:val="en-US" w:eastAsia="zh-CN" w:bidi="ar"/>
        </w:rPr>
        <w:t>依据财政预算安排作为投入成本，参照自行车行业指导意见，自行车成本按5年摊销，桩及桩基等建设成本按10年摊销</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运营费用按5年摊销，则平均每年费用摊销为</w:t>
      </w:r>
      <w:r>
        <w:rPr>
          <w:rFonts w:hint="eastAsia" w:ascii="仿宋_GB2312" w:hAnsi="宋体" w:eastAsia="仿宋_GB2312" w:cs="仿宋_GB2312"/>
          <w:color w:val="000000"/>
          <w:kern w:val="0"/>
          <w:sz w:val="31"/>
          <w:szCs w:val="31"/>
          <w:lang w:val="en-US" w:eastAsia="zh-CN" w:bidi="ar"/>
        </w:rPr>
        <w:t>440</w:t>
      </w:r>
      <w:r>
        <w:rPr>
          <w:rFonts w:hint="default" w:ascii="仿宋_GB2312" w:hAnsi="宋体" w:eastAsia="仿宋_GB2312" w:cs="仿宋_GB2312"/>
          <w:color w:val="000000"/>
          <w:kern w:val="0"/>
          <w:sz w:val="31"/>
          <w:szCs w:val="31"/>
          <w:lang w:val="en-US" w:eastAsia="zh-CN" w:bidi="ar"/>
        </w:rPr>
        <w:t>万元</w:t>
      </w:r>
      <w:r>
        <w:rPr>
          <w:rFonts w:hint="eastAsia" w:ascii="仿宋_GB2312" w:hAnsi="宋体" w:eastAsia="仿宋_GB2312" w:cs="仿宋_GB2312"/>
          <w:color w:val="000000"/>
          <w:kern w:val="0"/>
          <w:sz w:val="31"/>
          <w:szCs w:val="31"/>
          <w:lang w:val="en-US" w:eastAsia="zh-CN" w:bidi="ar"/>
        </w:rPr>
        <w:t>。</w:t>
      </w:r>
    </w:p>
    <w:p w14:paraId="67F21EBD">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生态效益：按照BP排放计算公式，每节省1升汽油=减排二氧化碳2.3千克=减排0.627千克碳。参考小型轿车油耗，以小型轿车百公里消耗10升油计算；根据借出次数及平均每次运行2公里计算自行车总行程换算，</w:t>
      </w:r>
      <w:r>
        <w:rPr>
          <w:rFonts w:hint="eastAsia" w:ascii="仿宋_GB2312" w:hAnsi="宋体" w:eastAsia="仿宋_GB2312" w:cs="仿宋_GB2312"/>
          <w:color w:val="000000"/>
          <w:kern w:val="0"/>
          <w:sz w:val="31"/>
          <w:szCs w:val="31"/>
          <w:lang w:val="en-US" w:eastAsia="zh-CN" w:bidi="ar"/>
        </w:rPr>
        <w:t>每年</w:t>
      </w:r>
      <w:r>
        <w:rPr>
          <w:rFonts w:hint="default" w:ascii="仿宋_GB2312" w:hAnsi="宋体" w:eastAsia="仿宋_GB2312" w:cs="仿宋_GB2312"/>
          <w:color w:val="000000"/>
          <w:kern w:val="0"/>
          <w:sz w:val="31"/>
          <w:szCs w:val="31"/>
          <w:lang w:val="en-US" w:eastAsia="zh-CN" w:bidi="ar"/>
        </w:rPr>
        <w:t>项目运行共节约燃油</w:t>
      </w:r>
      <w:r>
        <w:rPr>
          <w:rFonts w:hint="eastAsia" w:ascii="仿宋_GB2312" w:hAnsi="宋体" w:eastAsia="仿宋_GB2312" w:cs="仿宋_GB2312"/>
          <w:color w:val="000000"/>
          <w:kern w:val="0"/>
          <w:sz w:val="31"/>
          <w:szCs w:val="31"/>
          <w:lang w:val="en-US" w:eastAsia="zh-CN" w:bidi="ar"/>
        </w:rPr>
        <w:t>47.29</w:t>
      </w:r>
      <w:r>
        <w:rPr>
          <w:rFonts w:hint="default" w:ascii="仿宋_GB2312" w:hAnsi="宋体" w:eastAsia="仿宋_GB2312" w:cs="仿宋_GB2312"/>
          <w:color w:val="000000"/>
          <w:kern w:val="0"/>
          <w:sz w:val="31"/>
          <w:szCs w:val="31"/>
          <w:lang w:val="en-US" w:eastAsia="zh-CN" w:bidi="ar"/>
        </w:rPr>
        <w:t>万升，减少二氧化碳排放量</w:t>
      </w:r>
      <w:r>
        <w:rPr>
          <w:rFonts w:hint="eastAsia" w:ascii="仿宋_GB2312" w:hAnsi="宋体" w:eastAsia="仿宋_GB2312" w:cs="仿宋_GB2312"/>
          <w:color w:val="000000"/>
          <w:kern w:val="0"/>
          <w:sz w:val="31"/>
          <w:szCs w:val="31"/>
          <w:lang w:val="en-US" w:eastAsia="zh-CN" w:bidi="ar"/>
        </w:rPr>
        <w:t>0.11</w:t>
      </w:r>
      <w:r>
        <w:rPr>
          <w:rFonts w:hint="default" w:ascii="仿宋_GB2312" w:hAnsi="宋体" w:eastAsia="仿宋_GB2312" w:cs="仿宋_GB2312"/>
          <w:color w:val="000000"/>
          <w:kern w:val="0"/>
          <w:sz w:val="31"/>
          <w:szCs w:val="31"/>
          <w:lang w:val="en-US" w:eastAsia="zh-CN" w:bidi="ar"/>
        </w:rPr>
        <w:t>万吨，减少碳排量0.</w:t>
      </w:r>
      <w:r>
        <w:rPr>
          <w:rFonts w:hint="eastAsia" w:ascii="仿宋_GB2312" w:hAnsi="宋体" w:eastAsia="仿宋_GB2312" w:cs="仿宋_GB2312"/>
          <w:color w:val="000000"/>
          <w:kern w:val="0"/>
          <w:sz w:val="31"/>
          <w:szCs w:val="31"/>
          <w:lang w:val="en-US" w:eastAsia="zh-CN" w:bidi="ar"/>
        </w:rPr>
        <w:t>03</w:t>
      </w:r>
      <w:r>
        <w:rPr>
          <w:rFonts w:hint="default" w:ascii="仿宋_GB2312" w:hAnsi="宋体" w:eastAsia="仿宋_GB2312" w:cs="仿宋_GB2312"/>
          <w:color w:val="000000"/>
          <w:kern w:val="0"/>
          <w:sz w:val="31"/>
          <w:szCs w:val="31"/>
          <w:lang w:val="en-US" w:eastAsia="zh-CN" w:bidi="ar"/>
        </w:rPr>
        <w:t>万吨，节能减排效果明显。</w:t>
      </w:r>
    </w:p>
    <w:p w14:paraId="618B7D60">
      <w:pPr>
        <w:keepNext w:val="0"/>
        <w:keepLines w:val="0"/>
        <w:widowControl w:val="0"/>
        <w:numPr>
          <w:ilvl w:val="0"/>
          <w:numId w:val="0"/>
        </w:numPr>
        <w:suppressLineNumbers w:val="0"/>
        <w:spacing w:before="0" w:beforeAutospacing="0" w:after="0" w:afterAutospacing="0" w:line="580" w:lineRule="exact"/>
        <w:ind w:right="0" w:rightChars="0"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可持续性影响：</w:t>
      </w:r>
      <w:r>
        <w:rPr>
          <w:rFonts w:hint="eastAsia" w:ascii="仿宋" w:hAnsi="仿宋" w:eastAsia="仿宋" w:cs="仿宋"/>
          <w:kern w:val="2"/>
          <w:sz w:val="32"/>
          <w:szCs w:val="32"/>
          <w:lang w:val="en-US" w:eastAsia="zh-CN" w:bidi="ar"/>
        </w:rPr>
        <w:t>贯彻落实习近平生态文明思想，响应党中央碳达峰与碳中和重大战略决策，以及《中共中央国务院关于完整准确全面贯彻新发展理念做好碳达峰碳中和工作的意见》提出的“加快形成绿色生产生活方式”“积极引导低碳出行”、国务院《2030年前碳达峰行动方案》要求的“积极引导公众选择绿色低碳交通方式”“推广绿色低碳生活方式”、中办国办《关于推动城乡建设绿色发展的意见》提出的“深入开展绿色出行创建行动，优化交通出行结构，鼓励公众选择公共交通、自行车和步行等出行方式”、</w:t>
      </w:r>
      <w:r>
        <w:rPr>
          <w:rFonts w:hint="eastAsia" w:ascii="仿宋" w:hAnsi="仿宋" w:eastAsia="仿宋" w:cs="仿宋"/>
          <w:kern w:val="0"/>
          <w:sz w:val="32"/>
          <w:szCs w:val="32"/>
          <w:lang w:val="en-US" w:eastAsia="zh-CN" w:bidi="ar"/>
        </w:rPr>
        <w:t>全国文明城市测评关于“倡导简约适度、绿色低碳的生活方式”的要求，稳步实施</w:t>
      </w:r>
      <w:r>
        <w:rPr>
          <w:rFonts w:hint="eastAsia" w:ascii="仿宋" w:hAnsi="仿宋" w:eastAsia="仿宋" w:cs="Times New Roman"/>
          <w:sz w:val="32"/>
          <w:szCs w:val="32"/>
          <w:lang w:val="en-US" w:eastAsia="zh-CN" w:bidi="ar"/>
        </w:rPr>
        <w:t>《安徽省人民政府办公厅关于大力倡导低碳绿色出行的指导意见》《淮北市人民政府办公室关于印发淮北市低碳绿色出行和停车设施规划建设实施方案的通知》</w:t>
      </w:r>
      <w:r>
        <w:rPr>
          <w:rFonts w:hint="eastAsia" w:ascii="仿宋" w:hAnsi="仿宋" w:eastAsia="仿宋" w:cs="仿宋"/>
          <w:kern w:val="2"/>
          <w:sz w:val="32"/>
          <w:szCs w:val="32"/>
          <w:lang w:val="en-US" w:eastAsia="zh-CN" w:bidi="ar"/>
        </w:rPr>
        <w:t>《淮北市城市步行和自行车交通系统规划（2018-2035年）》，推进公共自行车服务拓展延伸、优化升级。</w:t>
      </w:r>
      <w:r>
        <w:rPr>
          <w:rFonts w:hint="default" w:ascii="仿宋_GB2312" w:hAnsi="宋体" w:eastAsia="仿宋_GB2312" w:cs="仿宋_GB2312"/>
          <w:color w:val="000000"/>
          <w:kern w:val="0"/>
          <w:sz w:val="31"/>
          <w:szCs w:val="31"/>
          <w:lang w:val="en-US" w:eastAsia="zh-CN" w:bidi="ar"/>
        </w:rPr>
        <w:t>主管部门成立公共自行车管理中心专司项目监管，财政安排项目专项资金支持。项目后续运行及成效发挥可持续影响情况好。市民总体满意度</w:t>
      </w:r>
      <w:r>
        <w:rPr>
          <w:rFonts w:hint="eastAsia" w:ascii="仿宋_GB2312" w:hAnsi="宋体" w:eastAsia="仿宋_GB2312" w:cs="仿宋_GB2312"/>
          <w:color w:val="000000"/>
          <w:kern w:val="0"/>
          <w:sz w:val="31"/>
          <w:szCs w:val="31"/>
          <w:lang w:val="en-US" w:eastAsia="zh-CN" w:bidi="ar"/>
        </w:rPr>
        <w:t>高</w:t>
      </w:r>
      <w:r>
        <w:rPr>
          <w:rFonts w:hint="default" w:ascii="仿宋_GB2312" w:hAnsi="宋体" w:eastAsia="仿宋_GB2312" w:cs="仿宋_GB2312"/>
          <w:color w:val="000000"/>
          <w:kern w:val="0"/>
          <w:sz w:val="31"/>
          <w:szCs w:val="31"/>
          <w:lang w:val="en-US" w:eastAsia="zh-CN" w:bidi="ar"/>
        </w:rPr>
        <w:t>。</w:t>
      </w:r>
    </w:p>
    <w:p w14:paraId="5D1E56A7">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主要经验及做法</w:t>
      </w:r>
    </w:p>
    <w:p w14:paraId="2E2DDA72">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建成覆盖全城、市县区互联互通的公共自行车公益惠民服务系统，服务全部市辖县区和部分工业园区，并实现了中心城区与濉溪县城、园区厂区公共自行车系统服务“一卡通”和社保卡居民服务“一卡通”公共自行车租赁出行功能，以其公益性、普惠性、经济性、生态性、便民性满足了市民“最初一公里”和“最后一公里”中短距离通勤、休闲、旅游、购物、健身等公共交通绿色出行需求，广受社会欢迎。现已办理公共自行车借车卡近18万张，居民社保卡三代卡持卡人数已达到35万（已开通居民服务一卡通公共自行车租赁出行服务目录）。</w:t>
      </w:r>
    </w:p>
    <w:p w14:paraId="70554BA9">
      <w:pPr>
        <w:keepNext w:val="0"/>
        <w:keepLines w:val="0"/>
        <w:widowControl w:val="0"/>
        <w:suppressLineNumbers w:val="0"/>
        <w:spacing w:before="0" w:beforeAutospacing="0" w:after="0" w:afterAutospacing="0" w:line="580" w:lineRule="exact"/>
        <w:ind w:left="0" w:right="0" w:firstLine="630" w:firstLineChars="196"/>
        <w:jc w:val="both"/>
        <w:rPr>
          <w:rFonts w:hint="eastAsia" w:ascii="仿宋" w:hAnsi="仿宋" w:eastAsia="仿宋" w:cs="仿宋"/>
          <w:kern w:val="0"/>
          <w:sz w:val="32"/>
          <w:szCs w:val="32"/>
          <w:lang w:val="en-US" w:eastAsia="zh-CN" w:bidi="ar"/>
        </w:rPr>
      </w:pPr>
      <w:r>
        <w:rPr>
          <w:rFonts w:hint="eastAsia" w:ascii="楷体" w:hAnsi="楷体" w:eastAsia="楷体" w:cs="楷体"/>
          <w:b/>
          <w:bCs w:val="0"/>
          <w:kern w:val="2"/>
          <w:sz w:val="32"/>
          <w:szCs w:val="32"/>
          <w:lang w:val="en-US" w:eastAsia="zh-CN" w:bidi="ar"/>
        </w:rPr>
        <w:t>一是实行市场化运作。</w:t>
      </w:r>
      <w:r>
        <w:rPr>
          <w:rFonts w:hint="eastAsia" w:ascii="仿宋" w:hAnsi="仿宋" w:eastAsia="仿宋" w:cs="仿宋"/>
          <w:kern w:val="0"/>
          <w:sz w:val="32"/>
          <w:szCs w:val="32"/>
          <w:lang w:val="en-US" w:eastAsia="zh-CN" w:bidi="ar"/>
        </w:rPr>
        <w:t>把公共自行车项目建设作为一项公益惠民工程，列入年度财政预算加以保障。采取“财政全额投资、专业经营服务、政府监督管理”的运作模式，由政府向企业购买服务，实行专业团队公司运作、专业技术规范经营。在监督考核上，我市成立了公共自行车管理中心，制定了专门的考核办法，一日一督查、一月一通报、一年一考核，由城管部门代表政府负责对公共自行车站点运行、锁桩管理、车辆状况、运转调度、客户服务实施数字化监控、综合性考评，根据考评情况兑现考核费用。通过市场机制实现资源的有效配置，确保了项目快速推进、高效运营，</w:t>
      </w:r>
      <w:r>
        <w:rPr>
          <w:rFonts w:hint="eastAsia" w:ascii="仿宋" w:hAnsi="仿宋" w:eastAsia="仿宋" w:cs="仿宋"/>
          <w:bCs/>
          <w:color w:val="000000"/>
          <w:kern w:val="2"/>
          <w:sz w:val="32"/>
          <w:szCs w:val="32"/>
          <w:lang w:val="en-US" w:eastAsia="zh-CN" w:bidi="ar"/>
        </w:rPr>
        <w:t>营造出文明、健康、有序的交通出行环境，充分彰显了文明城市绿色生活的理念。</w:t>
      </w:r>
      <w:r>
        <w:rPr>
          <w:rFonts w:hint="eastAsia" w:ascii="楷体" w:hAnsi="楷体" w:eastAsia="楷体" w:cs="楷体"/>
          <w:b/>
          <w:bCs w:val="0"/>
          <w:kern w:val="2"/>
          <w:sz w:val="32"/>
          <w:szCs w:val="32"/>
          <w:lang w:val="en-US" w:eastAsia="zh-CN" w:bidi="ar"/>
        </w:rPr>
        <w:t>二是实行阳光化操作。</w:t>
      </w:r>
      <w:r>
        <w:rPr>
          <w:rFonts w:hint="eastAsia" w:ascii="仿宋" w:hAnsi="仿宋" w:eastAsia="仿宋" w:cs="仿宋"/>
          <w:kern w:val="0"/>
          <w:sz w:val="32"/>
          <w:szCs w:val="32"/>
          <w:lang w:val="en-US" w:eastAsia="zh-CN" w:bidi="ar"/>
        </w:rPr>
        <w:t>在实施环节，广泛征求意见，确定最佳方案；在招标环节，严格程序，公开招标，择优遴选，最终确定了在全国200多个城市拥有成功建设经验的上市企业——永安行科技股份有限公司负责承建和运营；在选址环节，将布点方案公开发布，综合合理意见，根据现场条件，由城管、规划、建设、交通、公安等部门及时进行反复甄选、比较、调整，协调解决实际困难，最终确定站点选址和车辆投放数量，基本覆盖了居民出行的热点区域，体现了布点的科学性</w:t>
      </w:r>
      <w:r>
        <w:rPr>
          <w:rFonts w:hint="eastAsia" w:ascii="Times New Roman" w:hAnsi="Times New Roman" w:eastAsia="宋体" w:cs="宋体"/>
          <w:kern w:val="2"/>
          <w:sz w:val="32"/>
          <w:szCs w:val="32"/>
          <w:lang w:val="en-US" w:eastAsia="zh-CN" w:bidi="ar"/>
        </w:rPr>
        <w:t>；</w:t>
      </w:r>
      <w:r>
        <w:rPr>
          <w:rFonts w:hint="eastAsia" w:ascii="仿宋" w:hAnsi="仿宋" w:eastAsia="仿宋" w:cs="仿宋"/>
          <w:kern w:val="0"/>
          <w:sz w:val="32"/>
          <w:szCs w:val="32"/>
          <w:lang w:val="en-US" w:eastAsia="zh-CN" w:bidi="ar"/>
        </w:rPr>
        <w:t>在管理环节，用户在站点刷卡或扫码借车，到达目的地后归还到就近站点，使用者可以随走随停，方便，快捷。用户的借还车信息、消费信息，可在站点智能控制柜进行查询，提供给用户公开、安全的优质服务。</w:t>
      </w:r>
      <w:r>
        <w:rPr>
          <w:rFonts w:hint="eastAsia" w:ascii="楷体" w:hAnsi="楷体" w:eastAsia="楷体" w:cs="楷体"/>
          <w:b/>
          <w:bCs w:val="0"/>
          <w:kern w:val="2"/>
          <w:sz w:val="32"/>
          <w:szCs w:val="32"/>
          <w:lang w:val="en-US" w:eastAsia="zh-CN" w:bidi="ar"/>
        </w:rPr>
        <w:t>三是实行科学化协作。</w:t>
      </w:r>
      <w:r>
        <w:rPr>
          <w:rFonts w:hint="eastAsia" w:ascii="仿宋" w:hAnsi="仿宋" w:eastAsia="仿宋" w:cs="仿宋"/>
          <w:kern w:val="0"/>
          <w:sz w:val="32"/>
          <w:szCs w:val="32"/>
          <w:lang w:val="en-US" w:eastAsia="zh-CN" w:bidi="ar"/>
        </w:rPr>
        <w:t>公共自行车服务系统建设涉及到区县及有关职能部门，为此我市成立了以分管副市长为组长、相关部门负责同志为成员的市公共自行车服务系统建设和管理工作领导小组，市城管局牵头实施，各成员单位各司其职、各负其责，密切配合、协同推进。针对淮北北高南低、市矿交错、县区组团式布局等特点，遵循成网成系、方便换乘、景观协调、远近结合的布点原则，以人口密集度作为选址重点，依托公共交通站点设置，兼顾周边人口集中公共区域，综合考虑人流车流、地势形态等实际情况，以及现场道路、管线迁移等现实因素，合理确定公共自行车点位布设、桩位数量和空间密度。</w:t>
      </w:r>
    </w:p>
    <w:p w14:paraId="46AE4483">
      <w:pPr>
        <w:keepNext w:val="0"/>
        <w:keepLines w:val="0"/>
        <w:widowControl w:val="0"/>
        <w:suppressLineNumbers w:val="0"/>
        <w:spacing w:before="0" w:beforeAutospacing="0" w:after="0" w:afterAutospacing="0" w:line="580" w:lineRule="exact"/>
        <w:ind w:left="0" w:right="0" w:firstLine="630" w:firstLineChars="196"/>
        <w:jc w:val="both"/>
        <w:rPr>
          <w:rFonts w:hint="eastAsia" w:ascii="仿宋" w:hAnsi="仿宋" w:eastAsia="仿宋" w:cs="宋体"/>
          <w:kern w:val="0"/>
          <w:sz w:val="32"/>
          <w:szCs w:val="32"/>
          <w:lang w:val="en-US" w:eastAsia="zh-CN" w:bidi="ar"/>
        </w:rPr>
      </w:pPr>
      <w:r>
        <w:rPr>
          <w:rFonts w:hint="eastAsia" w:ascii="楷体" w:hAnsi="楷体" w:eastAsia="楷体" w:cs="楷体"/>
          <w:b/>
          <w:bCs w:val="0"/>
          <w:kern w:val="2"/>
          <w:sz w:val="32"/>
          <w:szCs w:val="32"/>
          <w:lang w:val="en-US" w:eastAsia="zh-CN" w:bidi="ar"/>
        </w:rPr>
        <w:t>推进了政府职能转变。</w:t>
      </w:r>
      <w:r>
        <w:rPr>
          <w:rFonts w:hint="eastAsia" w:ascii="仿宋" w:hAnsi="仿宋" w:eastAsia="仿宋" w:cs="仿宋"/>
          <w:kern w:val="0"/>
          <w:sz w:val="32"/>
          <w:szCs w:val="32"/>
          <w:lang w:val="en-US" w:eastAsia="zh-CN" w:bidi="ar"/>
        </w:rPr>
        <w:t>遵循政府主导、科学规划、市场运作、便民惠民的原则，坚持科学运行、合理调度、优化管理、保障服务，采取“政府购买服务”的模式，充分发挥企业在人才、技术、管理等方面的优势，政府部门专职负责监管，一改过去既当“运动员”又当“裁判员”的传统做法，推进了政府职能的转变。为加强监管，协调推进公共自行车系统标准化、规范化管理运行，督促组织</w:t>
      </w:r>
      <w:r>
        <w:rPr>
          <w:rFonts w:hint="eastAsia" w:ascii="仿宋" w:hAnsi="仿宋" w:eastAsia="仿宋" w:cs="仿宋"/>
          <w:kern w:val="2"/>
          <w:sz w:val="32"/>
          <w:szCs w:val="32"/>
          <w:lang w:val="en-US" w:eastAsia="zh-CN" w:bidi="ar"/>
        </w:rPr>
        <w:t>客服、仓储、维修固定场所整理、整顿、清洁、清扫、素养、安全“6S”标准提升，加强IBIKE公共自行车在线数据分析应用程序使用、查询、监督等落实，</w:t>
      </w:r>
      <w:r>
        <w:rPr>
          <w:rFonts w:hint="eastAsia" w:ascii="仿宋" w:hAnsi="仿宋" w:eastAsia="仿宋" w:cs="仿宋"/>
          <w:kern w:val="0"/>
          <w:sz w:val="32"/>
          <w:szCs w:val="32"/>
          <w:lang w:val="en-US" w:eastAsia="zh-CN" w:bidi="ar"/>
        </w:rPr>
        <w:t>不断促进服务质量提升</w:t>
      </w:r>
      <w:r>
        <w:rPr>
          <w:rFonts w:hint="eastAsia" w:ascii="仿宋" w:hAnsi="仿宋" w:eastAsia="仿宋" w:cs="仿宋"/>
          <w:kern w:val="2"/>
          <w:sz w:val="32"/>
          <w:szCs w:val="32"/>
          <w:lang w:val="en-US" w:eastAsia="zh-CN" w:bidi="ar"/>
        </w:rPr>
        <w:t>，打造文明服务“窗口”。</w:t>
      </w:r>
      <w:r>
        <w:rPr>
          <w:rFonts w:hint="eastAsia" w:ascii="楷体" w:hAnsi="楷体" w:eastAsia="楷体" w:cs="楷体"/>
          <w:b/>
          <w:bCs w:val="0"/>
          <w:kern w:val="2"/>
          <w:sz w:val="32"/>
          <w:szCs w:val="32"/>
          <w:lang w:val="en-US" w:eastAsia="zh-CN" w:bidi="ar"/>
        </w:rPr>
        <w:t>提升了市民生活品质。</w:t>
      </w:r>
      <w:r>
        <w:rPr>
          <w:rFonts w:hint="eastAsia" w:ascii="仿宋" w:hAnsi="仿宋" w:eastAsia="仿宋" w:cs="仿宋"/>
          <w:kern w:val="0"/>
          <w:sz w:val="32"/>
          <w:szCs w:val="32"/>
          <w:lang w:val="en-US" w:eastAsia="zh-CN" w:bidi="ar"/>
        </w:rPr>
        <w:t>公共自行车站点合理设置在道路两侧，主要以交通枢纽、公交站点、学校医院、商超市场、住宅小区、行政办公、公园景点等人流集中的公共服务设施周边为重点，形成“公共自行车+公交车”的交通模式，达到了“无缝换乘”，实现了快捷服务，</w:t>
      </w:r>
      <w:r>
        <w:rPr>
          <w:rFonts w:hint="eastAsia" w:ascii="仿宋" w:hAnsi="仿宋" w:eastAsia="仿宋" w:cs="仿宋"/>
          <w:kern w:val="2"/>
          <w:sz w:val="32"/>
          <w:szCs w:val="32"/>
          <w:lang w:val="en-US" w:eastAsia="zh-CN" w:bidi="ar"/>
        </w:rPr>
        <w:t>缓解了交通压力，</w:t>
      </w:r>
      <w:r>
        <w:rPr>
          <w:rFonts w:hint="eastAsia" w:ascii="仿宋" w:hAnsi="仿宋" w:eastAsia="仿宋" w:cs="仿宋"/>
          <w:kern w:val="0"/>
          <w:sz w:val="32"/>
          <w:szCs w:val="32"/>
          <w:lang w:val="en-US" w:eastAsia="zh-CN" w:bidi="ar"/>
        </w:rPr>
        <w:t>降低了出行成本。同时，积极运用“互联网+”技术，建设微信服务平台，可供实时查询周边站点名称、位置信息、可借还自行车数量以及租车卡办理流程等相关信息。并开通手机扫码租车，市民通过扫描租车专用二维码即可进行租车，充分发挥公共自行车环保节能、便民惠民、健身节约的优势。公共自行车采用一卡式便携管理或扫码租车便可轻轻松松畅游全城</w:t>
      </w:r>
      <w:r>
        <w:rPr>
          <w:rFonts w:hint="eastAsia" w:ascii="仿宋" w:hAnsi="仿宋" w:eastAsia="仿宋" w:cs="仿宋"/>
          <w:kern w:val="2"/>
          <w:sz w:val="32"/>
          <w:szCs w:val="32"/>
          <w:lang w:val="en-US" w:eastAsia="zh-CN" w:bidi="ar"/>
        </w:rPr>
        <w:t>，进一步方便市民绿色出行。</w:t>
      </w:r>
      <w:r>
        <w:rPr>
          <w:rFonts w:hint="eastAsia" w:ascii="楷体" w:hAnsi="楷体" w:eastAsia="楷体" w:cs="楷体"/>
          <w:b/>
          <w:bCs w:val="0"/>
          <w:kern w:val="2"/>
          <w:sz w:val="32"/>
          <w:szCs w:val="32"/>
          <w:lang w:val="en-US" w:eastAsia="zh-CN" w:bidi="ar"/>
        </w:rPr>
        <w:t>引领了绿色生活方式。</w:t>
      </w:r>
      <w:r>
        <w:rPr>
          <w:rFonts w:hint="eastAsia" w:ascii="仿宋" w:hAnsi="仿宋" w:eastAsia="仿宋" w:cs="仿宋"/>
          <w:kern w:val="0"/>
          <w:sz w:val="32"/>
          <w:szCs w:val="32"/>
          <w:lang w:val="en-US" w:eastAsia="zh-CN" w:bidi="ar"/>
        </w:rPr>
        <w:t>我市公共自行车公益惠民服务</w:t>
      </w:r>
      <w:r>
        <w:rPr>
          <w:rFonts w:hint="eastAsia" w:ascii="仿宋" w:hAnsi="仿宋" w:eastAsia="仿宋" w:cs="仿宋"/>
          <w:bCs/>
          <w:color w:val="000000"/>
          <w:kern w:val="2"/>
          <w:sz w:val="32"/>
          <w:szCs w:val="32"/>
          <w:lang w:val="en-US" w:eastAsia="zh-CN" w:bidi="ar"/>
        </w:rPr>
        <w:t>实行法定节假日6：00---20:00持卡租车</w:t>
      </w:r>
      <w:r>
        <w:rPr>
          <w:rFonts w:hint="eastAsia" w:ascii="仿宋" w:hAnsi="仿宋" w:eastAsia="仿宋" w:cs="仿宋"/>
          <w:kern w:val="0"/>
          <w:sz w:val="32"/>
          <w:szCs w:val="32"/>
          <w:lang w:val="en-US" w:eastAsia="zh-CN" w:bidi="ar"/>
        </w:rPr>
        <w:t>14小时</w:t>
      </w:r>
      <w:r>
        <w:rPr>
          <w:rFonts w:hint="eastAsia" w:ascii="仿宋" w:hAnsi="仿宋" w:eastAsia="仿宋" w:cs="仿宋"/>
          <w:bCs/>
          <w:color w:val="000000"/>
          <w:kern w:val="2"/>
          <w:sz w:val="32"/>
          <w:szCs w:val="32"/>
          <w:lang w:val="en-US" w:eastAsia="zh-CN" w:bidi="ar"/>
        </w:rPr>
        <w:t>免费骑行</w:t>
      </w:r>
      <w:r>
        <w:rPr>
          <w:rFonts w:hint="eastAsia" w:ascii="仿宋" w:hAnsi="仿宋" w:eastAsia="仿宋" w:cs="仿宋"/>
          <w:kern w:val="0"/>
          <w:sz w:val="32"/>
          <w:szCs w:val="32"/>
          <w:lang w:val="en-US" w:eastAsia="zh-CN" w:bidi="ar"/>
        </w:rPr>
        <w:t>、</w:t>
      </w:r>
      <w:r>
        <w:rPr>
          <w:rFonts w:hint="eastAsia" w:ascii="仿宋" w:hAnsi="仿宋" w:eastAsia="仿宋" w:cs="仿宋"/>
          <w:bCs/>
          <w:color w:val="000000"/>
          <w:kern w:val="2"/>
          <w:sz w:val="32"/>
          <w:szCs w:val="32"/>
          <w:lang w:val="en-US" w:eastAsia="zh-CN" w:bidi="ar"/>
        </w:rPr>
        <w:t>其他时间2小时免费骑行</w:t>
      </w:r>
      <w:r>
        <w:rPr>
          <w:rFonts w:hint="eastAsia" w:ascii="仿宋" w:hAnsi="仿宋" w:eastAsia="仿宋" w:cs="仿宋"/>
          <w:kern w:val="0"/>
          <w:sz w:val="32"/>
          <w:szCs w:val="32"/>
          <w:lang w:val="en-US" w:eastAsia="zh-CN" w:bidi="ar"/>
        </w:rPr>
        <w:t>、24小时通借通还的政策</w:t>
      </w:r>
      <w:r>
        <w:rPr>
          <w:rFonts w:hint="eastAsia" w:ascii="仿宋" w:hAnsi="仿宋" w:eastAsia="仿宋" w:cs="仿宋"/>
          <w:bCs/>
          <w:color w:val="000000"/>
          <w:kern w:val="2"/>
          <w:sz w:val="32"/>
          <w:szCs w:val="32"/>
          <w:lang w:val="en-US" w:eastAsia="zh-CN" w:bidi="ar"/>
        </w:rPr>
        <w:t>，助力绿色生活</w:t>
      </w:r>
      <w:r>
        <w:rPr>
          <w:rFonts w:hint="eastAsia" w:ascii="仿宋" w:hAnsi="仿宋" w:eastAsia="仿宋" w:cs="仿宋"/>
          <w:kern w:val="0"/>
          <w:sz w:val="32"/>
          <w:szCs w:val="32"/>
          <w:lang w:val="en-US" w:eastAsia="zh-CN" w:bidi="ar"/>
        </w:rPr>
        <w:t>，</w:t>
      </w:r>
      <w:r>
        <w:rPr>
          <w:rFonts w:hint="eastAsia" w:ascii="仿宋" w:hAnsi="仿宋" w:eastAsia="仿宋" w:cs="仿宋"/>
          <w:bCs/>
          <w:color w:val="000000"/>
          <w:kern w:val="2"/>
          <w:sz w:val="32"/>
          <w:szCs w:val="32"/>
          <w:lang w:val="en-US" w:eastAsia="zh-CN" w:bidi="ar"/>
        </w:rPr>
        <w:t>助推假日经济。同时，</w:t>
      </w:r>
      <w:r>
        <w:rPr>
          <w:rFonts w:hint="eastAsia" w:ascii="仿宋" w:hAnsi="仿宋" w:eastAsia="仿宋" w:cs="仿宋"/>
          <w:bCs/>
          <w:color w:val="000000"/>
          <w:kern w:val="0"/>
          <w:sz w:val="32"/>
          <w:szCs w:val="32"/>
          <w:lang w:val="en-US" w:eastAsia="zh-CN" w:bidi="ar"/>
        </w:rPr>
        <w:t>全面开通我</w:t>
      </w:r>
      <w:r>
        <w:rPr>
          <w:rFonts w:hint="eastAsia" w:ascii="仿宋" w:hAnsi="仿宋" w:eastAsia="仿宋" w:cs="仿宋"/>
          <w:kern w:val="2"/>
          <w:sz w:val="32"/>
          <w:szCs w:val="32"/>
          <w:lang w:val="en-US" w:eastAsia="zh-CN" w:bidi="ar"/>
        </w:rPr>
        <w:t>市社保卡在公共自行车租赁出行方面的应用，实现居民服务“一卡通”赋予借、还公共自行车的功能，</w:t>
      </w:r>
      <w:r>
        <w:rPr>
          <w:rFonts w:hint="eastAsia" w:ascii="仿宋" w:hAnsi="仿宋" w:eastAsia="仿宋" w:cs="仿宋"/>
          <w:kern w:val="0"/>
          <w:sz w:val="32"/>
          <w:szCs w:val="32"/>
          <w:lang w:val="en-US" w:eastAsia="zh-CN" w:bidi="ar"/>
        </w:rPr>
        <w:t>延行绿色、安全、低碳的环保节能理念</w:t>
      </w:r>
      <w:r>
        <w:rPr>
          <w:rFonts w:hint="eastAsia" w:ascii="仿宋" w:hAnsi="仿宋" w:eastAsia="仿宋" w:cs="仿宋"/>
          <w:bCs/>
          <w:color w:val="000000"/>
          <w:kern w:val="2"/>
          <w:sz w:val="32"/>
          <w:szCs w:val="32"/>
          <w:lang w:val="en-US" w:eastAsia="zh-CN" w:bidi="ar"/>
        </w:rPr>
        <w:t>，</w:t>
      </w:r>
      <w:r>
        <w:rPr>
          <w:rFonts w:hint="eastAsia" w:ascii="仿宋" w:hAnsi="仿宋" w:eastAsia="仿宋" w:cs="仿宋"/>
          <w:kern w:val="2"/>
          <w:sz w:val="32"/>
          <w:szCs w:val="32"/>
          <w:lang w:val="en-US" w:eastAsia="zh-CN" w:bidi="ar"/>
        </w:rPr>
        <w:t>更加方便广大市民绿色低碳出行</w:t>
      </w:r>
      <w:r>
        <w:rPr>
          <w:rFonts w:hint="eastAsia" w:ascii="仿宋" w:hAnsi="仿宋" w:eastAsia="仿宋" w:cs="仿宋"/>
          <w:bCs/>
          <w:color w:val="000000"/>
          <w:kern w:val="2"/>
          <w:sz w:val="32"/>
          <w:szCs w:val="32"/>
          <w:lang w:val="en-US" w:eastAsia="zh-CN" w:bidi="ar"/>
        </w:rPr>
        <w:t>。</w:t>
      </w:r>
      <w:r>
        <w:rPr>
          <w:rFonts w:hint="eastAsia" w:ascii="仿宋" w:hAnsi="仿宋" w:eastAsia="仿宋" w:cs="仿宋"/>
          <w:kern w:val="2"/>
          <w:sz w:val="32"/>
          <w:szCs w:val="32"/>
          <w:lang w:val="en-US" w:eastAsia="zh-CN" w:bidi="ar"/>
        </w:rPr>
        <w:t>在“淮北城市管理”微信公众号上线淮北市公共自行车站点地图，可供实时查询全市公共自行车站点位置信息、可借还公共自行车数量，让广大市民在租赁公共自行车骑行服务中能够实时掌握全市公共自行车服务站点基本情况，公共自行车公益服务再加码，</w:t>
      </w:r>
      <w:r>
        <w:rPr>
          <w:rFonts w:hint="eastAsia" w:ascii="仿宋" w:hAnsi="仿宋" w:eastAsia="仿宋" w:cs="宋体"/>
          <w:kern w:val="0"/>
          <w:sz w:val="32"/>
          <w:szCs w:val="32"/>
          <w:lang w:val="en-US" w:eastAsia="zh-CN" w:bidi="ar"/>
        </w:rPr>
        <w:t>让</w:t>
      </w:r>
      <w:r>
        <w:rPr>
          <w:rFonts w:hint="eastAsia" w:ascii="仿宋" w:hAnsi="仿宋" w:eastAsia="仿宋" w:cs="仿宋"/>
          <w:kern w:val="2"/>
          <w:sz w:val="32"/>
          <w:szCs w:val="32"/>
          <w:lang w:val="en-US" w:eastAsia="zh-CN" w:bidi="ar"/>
        </w:rPr>
        <w:t>骑行更</w:t>
      </w:r>
      <w:r>
        <w:rPr>
          <w:rFonts w:hint="eastAsia" w:ascii="仿宋" w:hAnsi="仿宋" w:eastAsia="仿宋" w:cs="宋体"/>
          <w:kern w:val="0"/>
          <w:sz w:val="32"/>
          <w:szCs w:val="32"/>
          <w:lang w:val="en-US" w:eastAsia="zh-CN" w:bidi="ar"/>
        </w:rPr>
        <w:t>轻松、服务</w:t>
      </w:r>
      <w:r>
        <w:rPr>
          <w:rFonts w:hint="eastAsia" w:ascii="仿宋" w:hAnsi="仿宋" w:eastAsia="仿宋" w:cs="仿宋"/>
          <w:kern w:val="2"/>
          <w:sz w:val="32"/>
          <w:szCs w:val="32"/>
          <w:lang w:val="en-US" w:eastAsia="zh-CN" w:bidi="ar"/>
        </w:rPr>
        <w:t>便利、市民更满意</w:t>
      </w:r>
      <w:r>
        <w:rPr>
          <w:rFonts w:hint="eastAsia" w:ascii="仿宋" w:hAnsi="仿宋" w:eastAsia="仿宋" w:cs="宋体"/>
          <w:kern w:val="0"/>
          <w:sz w:val="32"/>
          <w:szCs w:val="32"/>
          <w:lang w:val="en-US" w:eastAsia="zh-CN" w:bidi="ar"/>
        </w:rPr>
        <w:t>。</w:t>
      </w:r>
    </w:p>
    <w:p w14:paraId="57DA649E">
      <w:pPr>
        <w:keepNext w:val="0"/>
        <w:keepLines w:val="0"/>
        <w:widowControl w:val="0"/>
        <w:suppressLineNumbers w:val="0"/>
        <w:spacing w:before="0" w:beforeAutospacing="0" w:after="0" w:afterAutospacing="0" w:line="580" w:lineRule="exact"/>
        <w:ind w:left="0" w:right="0" w:firstLine="627" w:firstLineChars="196"/>
        <w:jc w:val="both"/>
        <w:rPr>
          <w:rFonts w:hint="eastAsia"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六、存在问题及原因分析</w:t>
      </w:r>
    </w:p>
    <w:p w14:paraId="4CC77077">
      <w:pPr>
        <w:keepNext w:val="0"/>
        <w:keepLines w:val="0"/>
        <w:widowControl w:val="0"/>
        <w:suppressLineNumbers w:val="0"/>
        <w:spacing w:before="0" w:beforeAutospacing="0" w:after="0" w:afterAutospacing="0" w:line="580" w:lineRule="exact"/>
        <w:ind w:left="0" w:right="0" w:firstLine="627" w:firstLineChars="196"/>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一是增设站点问题。根据城市发展实际和市民要求，需要新建公共自行车站点。随着城市规模扩大和市民需求增加，</w:t>
      </w:r>
      <w:r>
        <w:rPr>
          <w:rFonts w:hint="eastAsia" w:ascii="仿宋" w:hAnsi="仿宋" w:eastAsia="仿宋" w:cs="仿宋"/>
          <w:kern w:val="0"/>
          <w:sz w:val="32"/>
          <w:szCs w:val="32"/>
          <w:lang w:val="en-US" w:eastAsia="zh-CN" w:bidi="ar"/>
        </w:rPr>
        <w:t>需要及时在新城新区等公共自行车服务“空白区”布点建设，</w:t>
      </w:r>
      <w:r>
        <w:rPr>
          <w:rFonts w:hint="eastAsia" w:ascii="仿宋" w:hAnsi="仿宋" w:eastAsia="仿宋" w:cs="仿宋"/>
          <w:kern w:val="2"/>
          <w:sz w:val="32"/>
          <w:szCs w:val="32"/>
          <w:lang w:val="en-US" w:eastAsia="zh-CN" w:bidi="ar"/>
        </w:rPr>
        <w:t>进一步提高公共自行车服务的便利性和覆盖面。</w:t>
      </w:r>
    </w:p>
    <w:p w14:paraId="3B4107A5">
      <w:pPr>
        <w:keepNext w:val="0"/>
        <w:keepLines w:val="0"/>
        <w:widowControl w:val="0"/>
        <w:suppressLineNumbers w:val="0"/>
        <w:spacing w:before="0" w:beforeAutospacing="0" w:after="0" w:afterAutospacing="0" w:line="580" w:lineRule="exact"/>
        <w:ind w:left="0" w:right="0" w:firstLine="627" w:firstLineChars="196"/>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二是车辆破损问题。针对公共自行车系统超期服役、高位运行，车辆设备损耗严重、破旧老化的实际，及时更换新型公共自行车等设备，进一步提升市民骑行出行的安全性和舒适度。</w:t>
      </w:r>
    </w:p>
    <w:p w14:paraId="1E93FD44">
      <w:pPr>
        <w:keepNext w:val="0"/>
        <w:keepLines w:val="0"/>
        <w:widowControl w:val="0"/>
        <w:suppressLineNumbers w:val="0"/>
        <w:spacing w:before="0" w:beforeAutospacing="0" w:after="0" w:afterAutospacing="0" w:line="580" w:lineRule="exact"/>
        <w:ind w:left="0" w:right="0" w:firstLine="627" w:firstLineChars="196"/>
        <w:jc w:val="both"/>
        <w:rPr>
          <w:rFonts w:hint="default" w:ascii="仿宋_GB2312" w:hAnsi="宋体" w:eastAsia="仿宋_GB2312" w:cs="仿宋_GB2312"/>
          <w:color w:val="000000"/>
          <w:kern w:val="0"/>
          <w:sz w:val="31"/>
          <w:szCs w:val="31"/>
          <w:lang w:val="en-US" w:eastAsia="zh-CN" w:bidi="ar"/>
        </w:rPr>
      </w:pPr>
      <w:r>
        <w:rPr>
          <w:rFonts w:hint="eastAsia" w:ascii="仿宋" w:hAnsi="仿宋" w:eastAsia="仿宋" w:cs="仿宋"/>
          <w:kern w:val="2"/>
          <w:sz w:val="32"/>
          <w:szCs w:val="32"/>
          <w:lang w:val="en-US" w:eastAsia="zh-CN" w:bidi="ar"/>
        </w:rPr>
        <w:t>三是</w:t>
      </w:r>
      <w:r>
        <w:rPr>
          <w:rFonts w:hint="default" w:ascii="仿宋_GB2312" w:hAnsi="宋体" w:eastAsia="仿宋_GB2312" w:cs="仿宋_GB2312"/>
          <w:color w:val="000000"/>
          <w:kern w:val="0"/>
          <w:sz w:val="31"/>
          <w:szCs w:val="31"/>
          <w:lang w:val="en-US" w:eastAsia="zh-CN" w:bidi="ar"/>
        </w:rPr>
        <w:t>资产管理</w:t>
      </w:r>
      <w:r>
        <w:rPr>
          <w:rFonts w:hint="eastAsia" w:ascii="仿宋_GB2312" w:hAnsi="宋体" w:eastAsia="仿宋_GB2312" w:cs="仿宋_GB2312"/>
          <w:color w:val="000000"/>
          <w:kern w:val="0"/>
          <w:sz w:val="31"/>
          <w:szCs w:val="31"/>
          <w:lang w:val="en-US" w:eastAsia="zh-CN" w:bidi="ar"/>
        </w:rPr>
        <w:t>问题</w:t>
      </w:r>
      <w:r>
        <w:rPr>
          <w:rFonts w:hint="default" w:ascii="仿宋_GB2312" w:hAnsi="宋体" w:eastAsia="仿宋_GB2312" w:cs="仿宋_GB2312"/>
          <w:color w:val="000000"/>
          <w:kern w:val="0"/>
          <w:sz w:val="31"/>
          <w:szCs w:val="31"/>
          <w:lang w:val="en-US" w:eastAsia="zh-CN" w:bidi="ar"/>
        </w:rPr>
        <w:t>。项目形成的资产未能入账并纳入固定资产管理范围，未能定期盘点。按照自行车协会</w:t>
      </w:r>
      <w:bookmarkStart w:id="34" w:name="_GoBack"/>
      <w:bookmarkEnd w:id="34"/>
      <w:r>
        <w:rPr>
          <w:rFonts w:hint="default" w:ascii="仿宋_GB2312" w:hAnsi="宋体" w:eastAsia="仿宋_GB2312" w:cs="仿宋_GB2312"/>
          <w:color w:val="000000"/>
          <w:kern w:val="0"/>
          <w:sz w:val="31"/>
          <w:szCs w:val="31"/>
          <w:lang w:val="en-US" w:eastAsia="zh-CN" w:bidi="ar"/>
        </w:rPr>
        <w:t>指导意见，公共自行车运行5年应予报废，</w:t>
      </w:r>
      <w:r>
        <w:rPr>
          <w:rFonts w:hint="eastAsia" w:ascii="仿宋_GB2312" w:hAnsi="宋体" w:eastAsia="仿宋_GB2312" w:cs="仿宋_GB2312"/>
          <w:color w:val="000000"/>
          <w:kern w:val="0"/>
          <w:sz w:val="31"/>
          <w:szCs w:val="31"/>
          <w:lang w:val="en-US" w:eastAsia="zh-CN" w:bidi="ar"/>
        </w:rPr>
        <w:t>但未能落实</w:t>
      </w:r>
      <w:r>
        <w:rPr>
          <w:rFonts w:hint="default" w:ascii="仿宋_GB2312" w:hAnsi="宋体" w:eastAsia="仿宋_GB2312" w:cs="仿宋_GB2312"/>
          <w:color w:val="000000"/>
          <w:kern w:val="0"/>
          <w:sz w:val="31"/>
          <w:szCs w:val="31"/>
          <w:lang w:val="en-US" w:eastAsia="zh-CN" w:bidi="ar"/>
        </w:rPr>
        <w:t>。</w:t>
      </w:r>
    </w:p>
    <w:p w14:paraId="5E79579B">
      <w:pPr>
        <w:keepNext w:val="0"/>
        <w:keepLines w:val="0"/>
        <w:widowControl w:val="0"/>
        <w:numPr>
          <w:ilvl w:val="0"/>
          <w:numId w:val="1"/>
        </w:numPr>
        <w:suppressLineNumbers w:val="0"/>
        <w:spacing w:before="0" w:beforeAutospacing="0" w:after="0" w:afterAutospacing="0" w:line="580" w:lineRule="exact"/>
        <w:ind w:left="0" w:right="0" w:firstLine="627" w:firstLineChars="196"/>
        <w:jc w:val="both"/>
        <w:rPr>
          <w:rFonts w:hint="eastAsia"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有关建议</w:t>
      </w:r>
    </w:p>
    <w:p w14:paraId="755A0283">
      <w:pPr>
        <w:keepNext w:val="0"/>
        <w:keepLines w:val="0"/>
        <w:widowControl w:val="0"/>
        <w:suppressLineNumbers w:val="0"/>
        <w:spacing w:before="0" w:beforeAutospacing="0" w:after="0" w:afterAutospacing="0" w:line="580" w:lineRule="exact"/>
        <w:ind w:right="0" w:firstLine="643" w:firstLineChars="200"/>
        <w:jc w:val="both"/>
        <w:rPr>
          <w:rFonts w:hint="eastAsia" w:ascii="仿宋" w:hAnsi="仿宋" w:eastAsia="仿宋" w:cs="仿宋"/>
          <w:sz w:val="32"/>
          <w:szCs w:val="32"/>
          <w:lang w:val="en-US"/>
        </w:rPr>
      </w:pPr>
      <w:r>
        <w:rPr>
          <w:rFonts w:hint="eastAsia" w:ascii="楷体" w:hAnsi="楷体" w:eastAsia="楷体" w:cs="楷体"/>
          <w:b/>
          <w:bCs w:val="0"/>
          <w:kern w:val="2"/>
          <w:sz w:val="32"/>
          <w:szCs w:val="32"/>
          <w:lang w:val="en-US" w:eastAsia="zh-CN" w:bidi="ar"/>
        </w:rPr>
        <w:t>一是完善站点设置。</w:t>
      </w:r>
      <w:r>
        <w:rPr>
          <w:rFonts w:hint="eastAsia" w:ascii="仿宋" w:hAnsi="仿宋" w:eastAsia="仿宋" w:cs="仿宋"/>
          <w:kern w:val="2"/>
          <w:sz w:val="32"/>
          <w:szCs w:val="32"/>
          <w:lang w:val="en-US" w:eastAsia="zh-CN" w:bidi="ar"/>
        </w:rPr>
        <w:t>充分发挥公共自行车公益服务属性，紧跟市民需求和发展需要，认真研究人流分布特征，参考市民意见，围绕新城新区和新建游园公园、文化街区、公共场馆、机关单位、居民小区、城市广场、农贸市场、公交站台、开发园区、学校、医院、商超、厂矿等城市公共区域</w:t>
      </w:r>
      <w:r>
        <w:rPr>
          <w:rFonts w:hint="eastAsia" w:ascii="仿宋" w:hAnsi="仿宋" w:eastAsia="仿宋" w:cs="仿宋"/>
          <w:kern w:val="0"/>
          <w:sz w:val="32"/>
          <w:szCs w:val="32"/>
          <w:lang w:val="en-US" w:eastAsia="zh-CN" w:bidi="ar"/>
        </w:rPr>
        <w:t>，</w:t>
      </w:r>
      <w:r>
        <w:rPr>
          <w:rFonts w:hint="eastAsia" w:ascii="仿宋" w:hAnsi="仿宋" w:eastAsia="仿宋" w:cs="仿宋"/>
          <w:color w:val="000000"/>
          <w:kern w:val="0"/>
          <w:sz w:val="32"/>
          <w:szCs w:val="32"/>
          <w:lang w:val="en-US" w:eastAsia="zh-CN" w:bidi="ar"/>
        </w:rPr>
        <w:t>推进发展公共自行车新建项目</w:t>
      </w:r>
      <w:r>
        <w:rPr>
          <w:rFonts w:hint="eastAsia" w:ascii="仿宋" w:hAnsi="仿宋" w:eastAsia="仿宋" w:cs="仿宋"/>
          <w:kern w:val="0"/>
          <w:sz w:val="32"/>
          <w:szCs w:val="32"/>
          <w:lang w:val="en-US" w:eastAsia="zh-CN" w:bidi="ar"/>
        </w:rPr>
        <w:t>，</w:t>
      </w:r>
      <w:r>
        <w:rPr>
          <w:rFonts w:hint="eastAsia" w:ascii="仿宋" w:hAnsi="仿宋" w:eastAsia="仿宋" w:cs="仿宋"/>
          <w:kern w:val="2"/>
          <w:sz w:val="32"/>
          <w:szCs w:val="32"/>
          <w:lang w:val="en-US" w:eastAsia="zh-CN" w:bidi="ar"/>
        </w:rPr>
        <w:t>科学规划、</w:t>
      </w:r>
      <w:r>
        <w:rPr>
          <w:rFonts w:hint="eastAsia" w:ascii="仿宋" w:hAnsi="仿宋" w:eastAsia="仿宋" w:cs="仿宋"/>
          <w:kern w:val="0"/>
          <w:sz w:val="32"/>
          <w:szCs w:val="32"/>
          <w:lang w:val="en-US" w:eastAsia="zh-CN" w:bidi="ar"/>
        </w:rPr>
        <w:t>优化</w:t>
      </w:r>
      <w:r>
        <w:rPr>
          <w:rFonts w:hint="eastAsia" w:ascii="仿宋" w:hAnsi="仿宋" w:eastAsia="仿宋" w:cs="仿宋"/>
          <w:kern w:val="2"/>
          <w:sz w:val="32"/>
          <w:szCs w:val="32"/>
          <w:lang w:val="en-US" w:eastAsia="zh-CN" w:bidi="ar"/>
        </w:rPr>
        <w:t>布点公共自行车投放量，扩大公共自行车服务辐射范围，实现服务无盲点、全覆盖、缓解城市交通压力的目标，不断彰显公共自行车便民服务项目的社会性、公益性、生态性，</w:t>
      </w:r>
      <w:r>
        <w:rPr>
          <w:rFonts w:hint="eastAsia" w:ascii="仿宋" w:hAnsi="仿宋" w:eastAsia="仿宋" w:cs="仿宋"/>
          <w:kern w:val="0"/>
          <w:sz w:val="32"/>
          <w:szCs w:val="32"/>
          <w:lang w:val="en-US" w:eastAsia="zh-CN" w:bidi="ar"/>
        </w:rPr>
        <w:t>实现与城市规模、人口分布、人文环境同步协调发展的目标</w:t>
      </w:r>
      <w:r>
        <w:rPr>
          <w:rFonts w:hint="eastAsia" w:ascii="仿宋" w:hAnsi="仿宋" w:eastAsia="仿宋" w:cs="仿宋"/>
          <w:kern w:val="2"/>
          <w:sz w:val="32"/>
          <w:szCs w:val="32"/>
          <w:lang w:val="en-US" w:eastAsia="zh-CN" w:bidi="ar"/>
        </w:rPr>
        <w:t>。</w:t>
      </w:r>
    </w:p>
    <w:p w14:paraId="17D5F624">
      <w:pPr>
        <w:keepNext w:val="0"/>
        <w:keepLines w:val="0"/>
        <w:widowControl w:val="0"/>
        <w:suppressLineNumbers w:val="0"/>
        <w:spacing w:before="0" w:beforeAutospacing="0" w:after="0" w:afterAutospacing="0" w:line="580" w:lineRule="exact"/>
        <w:ind w:left="0" w:right="0" w:firstLine="640"/>
        <w:jc w:val="both"/>
        <w:rPr>
          <w:rFonts w:hint="eastAsia" w:ascii="仿宋" w:hAnsi="仿宋" w:eastAsia="仿宋" w:cs="仿宋"/>
          <w:kern w:val="2"/>
          <w:sz w:val="32"/>
          <w:szCs w:val="32"/>
          <w:lang w:val="en-US" w:eastAsia="zh-CN" w:bidi="ar"/>
        </w:rPr>
      </w:pPr>
      <w:r>
        <w:rPr>
          <w:rFonts w:hint="eastAsia" w:ascii="楷体" w:hAnsi="楷体" w:eastAsia="楷体" w:cs="楷体"/>
          <w:b/>
          <w:bCs w:val="0"/>
          <w:kern w:val="2"/>
          <w:sz w:val="32"/>
          <w:szCs w:val="32"/>
          <w:lang w:val="en-US" w:eastAsia="zh-CN" w:bidi="ar"/>
        </w:rPr>
        <w:t>二是消除安全隐患。</w:t>
      </w:r>
      <w:r>
        <w:rPr>
          <w:rFonts w:hint="eastAsia" w:ascii="仿宋" w:hAnsi="仿宋" w:eastAsia="仿宋" w:cs="仿宋"/>
          <w:kern w:val="2"/>
          <w:sz w:val="32"/>
          <w:szCs w:val="32"/>
          <w:lang w:val="en-US" w:eastAsia="zh-CN" w:bidi="ar"/>
        </w:rPr>
        <w:t>据统计，我市公共自行车运转使用频率处于全国较高水平。由于</w:t>
      </w:r>
      <w:r>
        <w:rPr>
          <w:rFonts w:hint="eastAsia" w:ascii="仿宋" w:hAnsi="仿宋" w:eastAsia="仿宋" w:cs="仿宋"/>
          <w:kern w:val="0"/>
          <w:sz w:val="32"/>
          <w:szCs w:val="32"/>
          <w:lang w:val="en-US" w:eastAsia="zh-CN" w:bidi="ar"/>
        </w:rPr>
        <w:t>始终处于高位运行，</w:t>
      </w:r>
      <w:r>
        <w:rPr>
          <w:rFonts w:hint="eastAsia" w:ascii="仿宋" w:hAnsi="仿宋" w:eastAsia="仿宋" w:cs="仿宋"/>
          <w:kern w:val="2"/>
          <w:sz w:val="32"/>
          <w:szCs w:val="32"/>
          <w:lang w:val="en-US" w:eastAsia="zh-CN" w:bidi="ar"/>
        </w:rPr>
        <w:t>加之主城区地势坡度较大，造成公共自行车损耗老化加快，尤其是2014年、2015年投放的公共自行车超期服役7、8年，普遍存在传动系统磨损严重、方向轴盘老化失灵等问题，已超租赁自行车运营服务5年使用期限，</w:t>
      </w:r>
      <w:r>
        <w:rPr>
          <w:rFonts w:hint="eastAsia" w:ascii="仿宋" w:hAnsi="仿宋" w:eastAsia="仿宋" w:cs="仿宋"/>
          <w:bCs/>
          <w:color w:val="000000"/>
          <w:kern w:val="2"/>
          <w:sz w:val="32"/>
          <w:szCs w:val="32"/>
          <w:lang w:val="en-US" w:eastAsia="zh-CN" w:bidi="ar"/>
        </w:rPr>
        <w:t>安全性能弱、骑行体验差，一直未能更换，</w:t>
      </w:r>
      <w:r>
        <w:rPr>
          <w:rFonts w:hint="eastAsia" w:ascii="仿宋" w:hAnsi="仿宋" w:eastAsia="仿宋" w:cs="仿宋"/>
          <w:kern w:val="2"/>
          <w:sz w:val="32"/>
          <w:szCs w:val="32"/>
          <w:lang w:val="en-US" w:eastAsia="zh-CN" w:bidi="ar"/>
        </w:rPr>
        <w:t>市民骑行的满意率、安全度、舒适性大幅降低，需要及时更新改造使用年限久、骑行体验差的公共自行车,更换升级新型公共自行车，确保公共自行车惠民服务安全优质高效。同时还存在部分桩柱破损老化、电子机械灵敏度较差等问题，影响市民借还车，需要进行必要更换，保证公共自行车系统运行整体性、连续性、安全性，进一步推进绿色生活创建活动，让骑行更便利、市民更满意。</w:t>
      </w:r>
    </w:p>
    <w:p w14:paraId="6CB7663B">
      <w:pPr>
        <w:keepNext w:val="0"/>
        <w:keepLines w:val="0"/>
        <w:widowControl w:val="0"/>
        <w:suppressLineNumbers w:val="0"/>
        <w:spacing w:before="0" w:beforeAutospacing="0" w:after="0" w:afterAutospacing="0" w:line="580" w:lineRule="exact"/>
        <w:ind w:left="0" w:right="0" w:firstLine="640"/>
        <w:jc w:val="both"/>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b/>
          <w:bCs w:val="0"/>
          <w:kern w:val="2"/>
          <w:sz w:val="32"/>
          <w:szCs w:val="32"/>
          <w:lang w:val="en-US" w:eastAsia="zh-CN" w:bidi="ar"/>
        </w:rPr>
        <w:t>三是</w:t>
      </w:r>
      <w:r>
        <w:rPr>
          <w:rFonts w:hint="default" w:ascii="楷体" w:hAnsi="楷体" w:eastAsia="楷体" w:cs="楷体"/>
          <w:b/>
          <w:bCs w:val="0"/>
          <w:kern w:val="2"/>
          <w:sz w:val="32"/>
          <w:szCs w:val="32"/>
          <w:lang w:val="en-US" w:eastAsia="zh-CN" w:bidi="ar"/>
        </w:rPr>
        <w:t>强化资产管理意识。</w:t>
      </w:r>
      <w:r>
        <w:rPr>
          <w:rFonts w:hint="default" w:ascii="仿宋_GB2312" w:hAnsi="宋体" w:eastAsia="仿宋_GB2312" w:cs="仿宋_GB2312"/>
          <w:color w:val="000000"/>
          <w:kern w:val="0"/>
          <w:sz w:val="31"/>
          <w:szCs w:val="31"/>
          <w:lang w:val="en-US" w:eastAsia="zh-CN" w:bidi="ar"/>
        </w:rPr>
        <w:t>纳入固定资产管理范围，年度定期盘点，确保资产安全完整。制定自行车报废标准及报废后处理办法，提高报废物资利用价值。</w:t>
      </w:r>
    </w:p>
    <w:p w14:paraId="3ED9FFEB">
      <w:pPr>
        <w:keepNext w:val="0"/>
        <w:keepLines w:val="0"/>
        <w:widowControl w:val="0"/>
        <w:suppressLineNumbers w:val="0"/>
        <w:spacing w:before="0" w:beforeAutospacing="0" w:after="0" w:afterAutospacing="0" w:line="580" w:lineRule="exact"/>
        <w:ind w:left="0" w:right="0" w:firstLine="640"/>
        <w:jc w:val="both"/>
        <w:rPr>
          <w:rFonts w:hint="default" w:ascii="黑体" w:hAnsi="仿宋_GB2312" w:eastAsia="黑体" w:cs="仿宋_GB2312"/>
          <w:kern w:val="2"/>
          <w:sz w:val="32"/>
          <w:szCs w:val="32"/>
          <w:lang w:val="en-US" w:eastAsia="zh-CN" w:bidi="zh-CN"/>
        </w:rPr>
      </w:pPr>
      <w:r>
        <w:rPr>
          <w:rFonts w:hint="eastAsia" w:ascii="楷体" w:hAnsi="楷体" w:eastAsia="楷体" w:cs="楷体"/>
          <w:b/>
          <w:bCs w:val="0"/>
          <w:kern w:val="2"/>
          <w:sz w:val="32"/>
          <w:szCs w:val="32"/>
          <w:lang w:val="en-US" w:eastAsia="zh-CN" w:bidi="ar"/>
        </w:rPr>
        <w:t>四是</w:t>
      </w:r>
      <w:r>
        <w:rPr>
          <w:rFonts w:hint="default" w:ascii="楷体" w:hAnsi="楷体" w:eastAsia="楷体" w:cs="楷体"/>
          <w:b/>
          <w:bCs w:val="0"/>
          <w:kern w:val="2"/>
          <w:sz w:val="32"/>
          <w:szCs w:val="32"/>
          <w:lang w:val="en-US" w:eastAsia="zh-CN" w:bidi="ar"/>
        </w:rPr>
        <w:t>财政预算安排建议。</w:t>
      </w:r>
      <w:r>
        <w:rPr>
          <w:rFonts w:hint="default" w:ascii="仿宋_GB2312" w:hAnsi="宋体" w:eastAsia="仿宋_GB2312" w:cs="仿宋_GB2312"/>
          <w:color w:val="000000"/>
          <w:kern w:val="0"/>
          <w:sz w:val="31"/>
          <w:szCs w:val="31"/>
          <w:lang w:val="en-US" w:eastAsia="zh-CN" w:bidi="ar"/>
        </w:rPr>
        <w:t>公共自行车项目列入淮北市中长期规划范围，项目运行情况好，社会满意度高，节能减排效果明显，公共自行车使用频次及使用人群进入相对稳定阶段，但公共自行车老化严重，建议财政预算优先安排更新车龄超过5年的老旧自行车，以改善公共自行车因老化造成的不适现状。</w:t>
      </w:r>
    </w:p>
    <w:p w14:paraId="53B505B2">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hint="eastAsia"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八、其他需要说明的问题</w:t>
      </w:r>
    </w:p>
    <w:p w14:paraId="77AFD0F2">
      <w:pPr>
        <w:keepNext w:val="0"/>
        <w:keepLines w:val="0"/>
        <w:widowControl w:val="0"/>
        <w:numPr>
          <w:ilvl w:val="0"/>
          <w:numId w:val="0"/>
        </w:numPr>
        <w:suppressLineNumbers w:val="0"/>
        <w:spacing w:before="0" w:beforeAutospacing="0" w:after="0" w:afterAutospacing="0" w:line="580" w:lineRule="exact"/>
        <w:ind w:right="0" w:rightChars="0" w:firstLine="640" w:firstLineChars="200"/>
        <w:jc w:val="both"/>
        <w:rPr>
          <w:rFonts w:ascii="仿宋_GB2312" w:hAnsi="仿宋_GB2312" w:eastAsia="仿宋_GB2312" w:cs="仿宋_GB2312"/>
          <w:kern w:val="2"/>
          <w:sz w:val="32"/>
          <w:szCs w:val="22"/>
          <w:lang w:val="zh-CN" w:eastAsia="zh-CN" w:bidi="zh-CN"/>
        </w:rPr>
      </w:pPr>
      <w:r>
        <w:rPr>
          <w:rFonts w:ascii="仿宋_GB2312" w:hAnsi="仿宋_GB2312" w:eastAsia="仿宋_GB2312" w:cs="仿宋_GB2312"/>
          <w:kern w:val="2"/>
          <w:sz w:val="32"/>
          <w:szCs w:val="22"/>
          <w:lang w:val="zh-CN" w:eastAsia="zh-CN" w:bidi="zh-CN"/>
        </w:rPr>
        <w:t>附：</w:t>
      </w:r>
      <w:r>
        <w:rPr>
          <w:rFonts w:hint="eastAsia" w:ascii="仿宋_GB2312" w:hAnsi="仿宋_GB2312" w:eastAsia="仿宋_GB2312" w:cs="仿宋_GB2312"/>
          <w:kern w:val="2"/>
          <w:sz w:val="32"/>
          <w:szCs w:val="22"/>
          <w:lang w:val="en-US" w:eastAsia="zh-CN" w:bidi="zh-CN"/>
        </w:rPr>
        <w:t>1.</w:t>
      </w:r>
      <w:r>
        <w:rPr>
          <w:rFonts w:hint="eastAsia" w:ascii="仿宋_GB2312" w:hAnsi="仿宋_GB2312" w:eastAsia="仿宋_GB2312" w:cs="仿宋_GB2312"/>
          <w:kern w:val="2"/>
          <w:sz w:val="32"/>
          <w:szCs w:val="32"/>
          <w:lang w:val="en-US" w:eastAsia="zh-CN" w:bidi="zh-CN"/>
        </w:rPr>
        <w:t>公共自行车运行费（四期）项目</w:t>
      </w:r>
      <w:r>
        <w:rPr>
          <w:rFonts w:ascii="仿宋_GB2312" w:hAnsi="仿宋_GB2312" w:eastAsia="仿宋_GB2312" w:cs="仿宋_GB2312"/>
          <w:kern w:val="2"/>
          <w:sz w:val="32"/>
          <w:szCs w:val="22"/>
          <w:lang w:val="zh-CN" w:eastAsia="zh-CN" w:bidi="zh-CN"/>
        </w:rPr>
        <w:t xml:space="preserve">绩效目标完成清单（见附表 </w:t>
      </w:r>
      <w:r>
        <w:rPr>
          <w:rFonts w:hint="eastAsia" w:ascii="仿宋_GB2312" w:hAnsi="仿宋_GB2312" w:eastAsia="仿宋_GB2312" w:cs="仿宋_GB2312"/>
          <w:kern w:val="2"/>
          <w:sz w:val="32"/>
          <w:szCs w:val="22"/>
          <w:lang w:val="en-US" w:eastAsia="zh-CN" w:bidi="zh-CN"/>
        </w:rPr>
        <w:t>8-</w:t>
      </w:r>
      <w:r>
        <w:rPr>
          <w:rFonts w:ascii="仿宋_GB2312" w:hAnsi="仿宋_GB2312" w:eastAsia="仿宋_GB2312" w:cs="仿宋_GB2312"/>
          <w:kern w:val="2"/>
          <w:sz w:val="32"/>
          <w:szCs w:val="22"/>
          <w:lang w:val="zh-CN" w:eastAsia="zh-CN" w:bidi="zh-CN"/>
        </w:rPr>
        <w:t>1）</w:t>
      </w:r>
    </w:p>
    <w:p w14:paraId="66679CD5">
      <w:pPr>
        <w:pStyle w:val="11"/>
        <w:numPr>
          <w:ilvl w:val="0"/>
          <w:numId w:val="0"/>
        </w:numPr>
        <w:tabs>
          <w:tab w:val="left" w:pos="1715"/>
        </w:tabs>
        <w:spacing w:before="149" w:after="0" w:line="240" w:lineRule="auto"/>
        <w:ind w:right="0" w:rightChars="0" w:firstLine="1280" w:firstLineChars="400"/>
        <w:jc w:val="left"/>
        <w:rPr>
          <w:rFonts w:ascii="仿宋_GB2312" w:hAnsi="仿宋_GB2312" w:eastAsia="仿宋_GB2312" w:cs="仿宋_GB2312"/>
          <w:kern w:val="2"/>
          <w:sz w:val="32"/>
          <w:szCs w:val="22"/>
          <w:lang w:val="zh-CN" w:eastAsia="zh-CN" w:bidi="zh-CN"/>
        </w:rPr>
      </w:pPr>
      <w:r>
        <w:rPr>
          <w:rFonts w:hint="eastAsia" w:cs="仿宋_GB2312"/>
          <w:kern w:val="2"/>
          <w:sz w:val="32"/>
          <w:szCs w:val="22"/>
          <w:lang w:val="en-US" w:eastAsia="zh-CN" w:bidi="zh-CN"/>
        </w:rPr>
        <w:t>2.</w:t>
      </w:r>
      <w:r>
        <w:rPr>
          <w:rFonts w:hint="eastAsia" w:ascii="仿宋_GB2312" w:hAnsi="仿宋_GB2312" w:eastAsia="仿宋_GB2312" w:cs="仿宋_GB2312"/>
          <w:kern w:val="2"/>
          <w:sz w:val="32"/>
          <w:szCs w:val="32"/>
          <w:lang w:val="en-US" w:eastAsia="zh-CN" w:bidi="zh-CN"/>
        </w:rPr>
        <w:t>公共自行车运行费（四期）项目</w:t>
      </w:r>
      <w:r>
        <w:rPr>
          <w:rFonts w:ascii="仿宋_GB2312" w:hAnsi="仿宋_GB2312" w:eastAsia="仿宋_GB2312" w:cs="仿宋_GB2312"/>
          <w:kern w:val="2"/>
          <w:sz w:val="32"/>
          <w:szCs w:val="22"/>
          <w:lang w:val="zh-CN" w:eastAsia="zh-CN" w:bidi="zh-CN"/>
        </w:rPr>
        <w:t>绩效评价问题清单（见附表</w:t>
      </w:r>
      <w:r>
        <w:rPr>
          <w:rFonts w:hint="eastAsia" w:ascii="仿宋_GB2312" w:hAnsi="仿宋_GB2312" w:eastAsia="仿宋_GB2312" w:cs="仿宋_GB2312"/>
          <w:kern w:val="2"/>
          <w:sz w:val="32"/>
          <w:szCs w:val="22"/>
          <w:lang w:val="en-US" w:eastAsia="zh-CN" w:bidi="zh-CN"/>
        </w:rPr>
        <w:t>8-</w:t>
      </w:r>
      <w:r>
        <w:rPr>
          <w:rFonts w:ascii="仿宋_GB2312" w:hAnsi="仿宋_GB2312" w:eastAsia="仿宋_GB2312" w:cs="仿宋_GB2312"/>
          <w:kern w:val="2"/>
          <w:sz w:val="32"/>
          <w:szCs w:val="22"/>
          <w:lang w:val="zh-CN" w:eastAsia="zh-CN" w:bidi="zh-CN"/>
        </w:rPr>
        <w:t xml:space="preserve"> 2）</w:t>
      </w:r>
    </w:p>
    <w:p w14:paraId="3049B20A">
      <w:pPr>
        <w:pStyle w:val="11"/>
        <w:numPr>
          <w:ilvl w:val="0"/>
          <w:numId w:val="0"/>
        </w:numPr>
        <w:tabs>
          <w:tab w:val="left" w:pos="1715"/>
        </w:tabs>
        <w:spacing w:before="152" w:after="0" w:line="240" w:lineRule="auto"/>
        <w:ind w:right="0" w:rightChars="0" w:firstLine="1280" w:firstLineChars="400"/>
        <w:jc w:val="left"/>
        <w:rPr>
          <w:rFonts w:ascii="仿宋_GB2312" w:hAnsi="仿宋_GB2312" w:eastAsia="仿宋_GB2312" w:cs="仿宋_GB2312"/>
          <w:kern w:val="2"/>
          <w:sz w:val="32"/>
          <w:szCs w:val="22"/>
          <w:lang w:val="zh-CN" w:eastAsia="zh-CN" w:bidi="zh-CN"/>
        </w:rPr>
      </w:pPr>
      <w:r>
        <w:rPr>
          <w:rFonts w:hint="eastAsia" w:cs="仿宋_GB2312"/>
          <w:kern w:val="2"/>
          <w:sz w:val="32"/>
          <w:szCs w:val="22"/>
          <w:lang w:val="en-US" w:eastAsia="zh-CN" w:bidi="zh-CN"/>
        </w:rPr>
        <w:t>3.</w:t>
      </w:r>
      <w:r>
        <w:rPr>
          <w:rFonts w:hint="eastAsia" w:ascii="仿宋_GB2312" w:hAnsi="仿宋_GB2312" w:eastAsia="仿宋_GB2312" w:cs="仿宋_GB2312"/>
          <w:kern w:val="2"/>
          <w:sz w:val="32"/>
          <w:szCs w:val="32"/>
          <w:lang w:val="en-US" w:eastAsia="zh-CN" w:bidi="zh-CN"/>
        </w:rPr>
        <w:t>公共自行车运行费（四期）项目</w:t>
      </w:r>
      <w:r>
        <w:rPr>
          <w:rFonts w:ascii="仿宋_GB2312" w:hAnsi="仿宋_GB2312" w:eastAsia="仿宋_GB2312" w:cs="仿宋_GB2312"/>
          <w:kern w:val="2"/>
          <w:sz w:val="32"/>
          <w:szCs w:val="22"/>
          <w:lang w:val="zh-CN" w:eastAsia="zh-CN" w:bidi="zh-CN"/>
        </w:rPr>
        <w:t>绩效评价评分情况表（见附表</w:t>
      </w:r>
      <w:r>
        <w:rPr>
          <w:rFonts w:hint="eastAsia" w:ascii="仿宋_GB2312" w:hAnsi="仿宋_GB2312" w:eastAsia="仿宋_GB2312" w:cs="仿宋_GB2312"/>
          <w:kern w:val="2"/>
          <w:sz w:val="32"/>
          <w:szCs w:val="22"/>
          <w:lang w:val="en-US" w:eastAsia="zh-CN" w:bidi="zh-CN"/>
        </w:rPr>
        <w:t>8-</w:t>
      </w:r>
      <w:r>
        <w:rPr>
          <w:rFonts w:ascii="仿宋_GB2312" w:hAnsi="仿宋_GB2312" w:eastAsia="仿宋_GB2312" w:cs="仿宋_GB2312"/>
          <w:kern w:val="2"/>
          <w:sz w:val="32"/>
          <w:szCs w:val="22"/>
          <w:lang w:val="zh-CN" w:eastAsia="zh-CN" w:bidi="zh-CN"/>
        </w:rPr>
        <w:t xml:space="preserve"> 3）</w:t>
      </w:r>
    </w:p>
    <w:p w14:paraId="5DA3E551">
      <w:pPr>
        <w:spacing w:after="0" w:line="240" w:lineRule="auto"/>
        <w:jc w:val="left"/>
        <w:rPr>
          <w:sz w:val="32"/>
        </w:rPr>
        <w:sectPr>
          <w:pgSz w:w="11911" w:h="16838"/>
          <w:pgMar w:top="1582" w:right="1417" w:bottom="1582" w:left="1480" w:header="0" w:footer="1383" w:gutter="0"/>
          <w:cols w:space="0" w:num="1"/>
          <w:rtlGutter w:val="0"/>
          <w:docGrid w:linePitch="0" w:charSpace="0"/>
        </w:sectPr>
      </w:pPr>
    </w:p>
    <w:p w14:paraId="25531382">
      <w:pPr>
        <w:keepNext w:val="0"/>
        <w:keepLines w:val="0"/>
        <w:pageBreakBefore w:val="0"/>
        <w:widowControl w:val="0"/>
        <w:kinsoku/>
        <w:wordWrap/>
        <w:overflowPunct/>
        <w:topLinePunct w:val="0"/>
        <w:autoSpaceDE/>
        <w:autoSpaceDN/>
        <w:bidi w:val="0"/>
        <w:adjustRightInd/>
        <w:snapToGrid/>
        <w:spacing w:before="40"/>
        <w:ind w:left="0" w:right="0" w:firstLine="0"/>
        <w:jc w:val="left"/>
        <w:textAlignment w:val="auto"/>
        <w:rPr>
          <w:rFonts w:ascii="黑体"/>
          <w:sz w:val="48"/>
        </w:rPr>
      </w:pPr>
      <w:bookmarkStart w:id="33" w:name="1603附件3.pdf"/>
      <w:bookmarkEnd w:id="33"/>
      <w:r>
        <w:rPr>
          <w:rFonts w:hint="eastAsia" w:ascii="黑体" w:eastAsia="黑体"/>
          <w:sz w:val="28"/>
        </w:rPr>
        <w:t>附表</w:t>
      </w:r>
      <w:r>
        <w:rPr>
          <w:rFonts w:hint="eastAsia" w:ascii="黑体" w:eastAsia="黑体"/>
          <w:sz w:val="28"/>
          <w:lang w:val="en-US" w:eastAsia="zh-CN"/>
        </w:rPr>
        <w:t>8-</w:t>
      </w:r>
      <w:r>
        <w:rPr>
          <w:rFonts w:hint="eastAsia" w:ascii="黑体" w:eastAsia="黑体"/>
          <w:sz w:val="28"/>
        </w:rPr>
        <w:t>1</w:t>
      </w:r>
    </w:p>
    <w:p w14:paraId="5CAC80FA">
      <w:pPr>
        <w:pStyle w:val="3"/>
        <w:keepNext/>
        <w:keepLines/>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黑体" w:hAnsi="黑体" w:eastAsia="黑体" w:cs="黑体"/>
        </w:rPr>
        <w:sectPr>
          <w:footerReference r:id="rId4" w:type="default"/>
          <w:pgSz w:w="16838" w:h="11911" w:orient="landscape"/>
          <w:pgMar w:top="1480" w:right="1582" w:bottom="1417" w:left="1582" w:header="0" w:footer="1383" w:gutter="0"/>
          <w:pgNumType w:start="29"/>
          <w:cols w:space="0" w:num="1"/>
          <w:rtlGutter w:val="0"/>
          <w:docGrid w:linePitch="0" w:charSpace="0"/>
        </w:sectPr>
      </w:pPr>
      <w:r>
        <w:rPr>
          <w:rFonts w:hint="eastAsia" w:ascii="黑体" w:hAnsi="黑体" w:eastAsia="黑体" w:cs="黑体"/>
          <w:lang w:val="en-US" w:eastAsia="zh-CN"/>
        </w:rPr>
        <w:t>公共自行车运行费（四期）</w:t>
      </w:r>
      <w:r>
        <w:rPr>
          <w:rFonts w:hint="eastAsia" w:ascii="黑体" w:hAnsi="黑体" w:eastAsia="黑体" w:cs="黑体"/>
        </w:rPr>
        <w:t>项目绩效目标完成清单</w:t>
      </w:r>
    </w:p>
    <w:p w14:paraId="74BAE3AD">
      <w:pPr>
        <w:pStyle w:val="4"/>
        <w:spacing w:before="5"/>
        <w:rPr>
          <w:rFonts w:ascii="宋体"/>
          <w:b/>
          <w:sz w:val="15"/>
        </w:rPr>
      </w:pPr>
    </w:p>
    <w:tbl>
      <w:tblPr>
        <w:tblStyle w:val="8"/>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14:paraId="218EF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008" w:type="dxa"/>
          </w:tcPr>
          <w:p w14:paraId="422E2792">
            <w:pPr>
              <w:pStyle w:val="12"/>
              <w:keepNext w:val="0"/>
              <w:keepLines w:val="0"/>
              <w:suppressLineNumbers w:val="0"/>
              <w:spacing w:before="6" w:beforeAutospacing="0" w:after="0" w:afterAutospacing="0"/>
              <w:ind w:left="0" w:right="0"/>
              <w:rPr>
                <w:rFonts w:hint="default"/>
                <w:b/>
                <w:sz w:val="20"/>
              </w:rPr>
            </w:pPr>
          </w:p>
          <w:p w14:paraId="63402C76">
            <w:pPr>
              <w:pStyle w:val="12"/>
              <w:keepNext w:val="0"/>
              <w:keepLines w:val="0"/>
              <w:suppressLineNumbers w:val="0"/>
              <w:spacing w:before="0" w:beforeAutospacing="0" w:after="0" w:afterAutospacing="0"/>
              <w:ind w:left="218" w:right="184"/>
              <w:jc w:val="center"/>
              <w:rPr>
                <w:rFonts w:hint="default"/>
                <w:b/>
                <w:sz w:val="22"/>
              </w:rPr>
            </w:pPr>
            <w:r>
              <w:rPr>
                <w:rFonts w:hint="default"/>
                <w:b/>
                <w:sz w:val="22"/>
              </w:rPr>
              <w:t>序号</w:t>
            </w:r>
          </w:p>
        </w:tc>
        <w:tc>
          <w:tcPr>
            <w:tcW w:w="5262" w:type="dxa"/>
          </w:tcPr>
          <w:p w14:paraId="0C1B15EE">
            <w:pPr>
              <w:pStyle w:val="12"/>
              <w:keepNext w:val="0"/>
              <w:keepLines w:val="0"/>
              <w:suppressLineNumbers w:val="0"/>
              <w:spacing w:before="6" w:beforeAutospacing="0" w:after="0" w:afterAutospacing="0"/>
              <w:ind w:left="0" w:right="0"/>
              <w:rPr>
                <w:rFonts w:hint="default"/>
                <w:b/>
                <w:sz w:val="20"/>
              </w:rPr>
            </w:pPr>
          </w:p>
          <w:p w14:paraId="0CE745B1">
            <w:pPr>
              <w:pStyle w:val="12"/>
              <w:keepNext w:val="0"/>
              <w:keepLines w:val="0"/>
              <w:suppressLineNumbers w:val="0"/>
              <w:spacing w:before="0" w:beforeAutospacing="0" w:after="0" w:afterAutospacing="0"/>
              <w:ind w:left="2131" w:right="2099"/>
              <w:jc w:val="center"/>
              <w:rPr>
                <w:rFonts w:hint="default"/>
                <w:b/>
                <w:sz w:val="22"/>
              </w:rPr>
            </w:pPr>
            <w:r>
              <w:rPr>
                <w:rFonts w:hint="default"/>
                <w:b/>
                <w:sz w:val="22"/>
              </w:rPr>
              <w:t>绩效目标设定情况</w:t>
            </w:r>
          </w:p>
        </w:tc>
        <w:tc>
          <w:tcPr>
            <w:tcW w:w="5625" w:type="dxa"/>
          </w:tcPr>
          <w:p w14:paraId="24288682">
            <w:pPr>
              <w:pStyle w:val="12"/>
              <w:keepNext w:val="0"/>
              <w:keepLines w:val="0"/>
              <w:suppressLineNumbers w:val="0"/>
              <w:spacing w:before="6" w:beforeAutospacing="0" w:after="0" w:afterAutospacing="0"/>
              <w:ind w:left="0" w:right="0"/>
              <w:rPr>
                <w:rFonts w:hint="default"/>
                <w:b/>
                <w:sz w:val="20"/>
              </w:rPr>
            </w:pPr>
          </w:p>
          <w:p w14:paraId="62F6CFF0">
            <w:pPr>
              <w:pStyle w:val="12"/>
              <w:keepNext w:val="0"/>
              <w:keepLines w:val="0"/>
              <w:suppressLineNumbers w:val="0"/>
              <w:spacing w:before="0" w:beforeAutospacing="0" w:after="0" w:afterAutospacing="0"/>
              <w:ind w:left="2208" w:right="2176"/>
              <w:jc w:val="center"/>
              <w:rPr>
                <w:rFonts w:hint="default"/>
                <w:b/>
                <w:sz w:val="22"/>
              </w:rPr>
            </w:pPr>
            <w:r>
              <w:rPr>
                <w:rFonts w:hint="default"/>
                <w:b/>
                <w:sz w:val="22"/>
              </w:rPr>
              <w:t>绩效目标完成情况</w:t>
            </w:r>
          </w:p>
        </w:tc>
        <w:tc>
          <w:tcPr>
            <w:tcW w:w="1590" w:type="dxa"/>
          </w:tcPr>
          <w:p w14:paraId="74A2E44F">
            <w:pPr>
              <w:pStyle w:val="12"/>
              <w:keepNext w:val="0"/>
              <w:keepLines w:val="0"/>
              <w:suppressLineNumbers w:val="0"/>
              <w:spacing w:before="6" w:beforeAutospacing="0" w:after="0" w:afterAutospacing="0"/>
              <w:ind w:left="0" w:right="0"/>
              <w:rPr>
                <w:rFonts w:hint="default"/>
                <w:b/>
                <w:sz w:val="20"/>
              </w:rPr>
            </w:pPr>
          </w:p>
          <w:p w14:paraId="53D5C4D5">
            <w:pPr>
              <w:pStyle w:val="12"/>
              <w:keepNext w:val="0"/>
              <w:keepLines w:val="0"/>
              <w:suppressLineNumbers w:val="0"/>
              <w:spacing w:before="0" w:beforeAutospacing="0" w:after="0" w:afterAutospacing="0"/>
              <w:ind w:left="406" w:right="0"/>
              <w:rPr>
                <w:rFonts w:hint="default"/>
                <w:b/>
                <w:sz w:val="22"/>
              </w:rPr>
            </w:pPr>
            <w:r>
              <w:rPr>
                <w:rFonts w:hint="default"/>
                <w:b/>
                <w:sz w:val="22"/>
              </w:rPr>
              <w:t>备注</w:t>
            </w:r>
          </w:p>
        </w:tc>
      </w:tr>
      <w:tr w14:paraId="3CEAF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008" w:type="dxa"/>
          </w:tcPr>
          <w:p w14:paraId="5266E713">
            <w:pPr>
              <w:pStyle w:val="12"/>
              <w:keepNext w:val="0"/>
              <w:keepLines w:val="0"/>
              <w:suppressLineNumbers w:val="0"/>
              <w:spacing w:before="0" w:beforeAutospacing="0" w:after="0" w:afterAutospacing="0"/>
              <w:ind w:left="0" w:right="0"/>
              <w:rPr>
                <w:rFonts w:hint="default"/>
                <w:b/>
                <w:sz w:val="18"/>
              </w:rPr>
            </w:pPr>
          </w:p>
          <w:p w14:paraId="31E6728B">
            <w:pPr>
              <w:pStyle w:val="12"/>
              <w:keepNext w:val="0"/>
              <w:keepLines w:val="0"/>
              <w:suppressLineNumbers w:val="0"/>
              <w:spacing w:before="1" w:beforeAutospacing="0" w:after="0" w:afterAutospacing="0"/>
              <w:ind w:left="0" w:right="0"/>
              <w:rPr>
                <w:rFonts w:hint="default"/>
                <w:b/>
                <w:sz w:val="20"/>
              </w:rPr>
            </w:pPr>
          </w:p>
          <w:p w14:paraId="6CA69D50">
            <w:pPr>
              <w:pStyle w:val="12"/>
              <w:keepNext w:val="0"/>
              <w:keepLines w:val="0"/>
              <w:suppressLineNumbers w:val="0"/>
              <w:spacing w:before="0" w:beforeAutospacing="0" w:after="0" w:afterAutospacing="0"/>
              <w:ind w:left="220" w:right="184"/>
              <w:jc w:val="center"/>
              <w:rPr>
                <w:rFonts w:hint="default"/>
                <w:b/>
                <w:sz w:val="18"/>
              </w:rPr>
            </w:pPr>
            <w:r>
              <w:rPr>
                <w:rFonts w:hint="default"/>
                <w:b/>
                <w:sz w:val="18"/>
              </w:rPr>
              <w:t>（一）</w:t>
            </w:r>
          </w:p>
        </w:tc>
        <w:tc>
          <w:tcPr>
            <w:tcW w:w="5262" w:type="dxa"/>
          </w:tcPr>
          <w:p w14:paraId="73D252B1">
            <w:pPr>
              <w:pStyle w:val="12"/>
              <w:keepNext w:val="0"/>
              <w:keepLines w:val="0"/>
              <w:suppressLineNumbers w:val="0"/>
              <w:spacing w:before="0" w:beforeAutospacing="0" w:after="0" w:afterAutospacing="0"/>
              <w:ind w:left="0" w:right="0"/>
              <w:rPr>
                <w:rFonts w:hint="default"/>
                <w:b/>
                <w:sz w:val="18"/>
              </w:rPr>
            </w:pPr>
          </w:p>
          <w:p w14:paraId="3E998728">
            <w:pPr>
              <w:pStyle w:val="12"/>
              <w:keepNext w:val="0"/>
              <w:keepLines w:val="0"/>
              <w:suppressLineNumbers w:val="0"/>
              <w:spacing w:before="1" w:beforeAutospacing="0" w:after="0" w:afterAutospacing="0"/>
              <w:ind w:left="0" w:right="0"/>
              <w:rPr>
                <w:rFonts w:hint="default"/>
                <w:b/>
                <w:sz w:val="20"/>
              </w:rPr>
            </w:pPr>
          </w:p>
          <w:p w14:paraId="44D6FCF5">
            <w:pPr>
              <w:pStyle w:val="12"/>
              <w:keepNext w:val="0"/>
              <w:keepLines w:val="0"/>
              <w:suppressLineNumbers w:val="0"/>
              <w:spacing w:before="0" w:beforeAutospacing="0" w:after="0" w:afterAutospacing="0"/>
              <w:ind w:left="37" w:right="0"/>
              <w:rPr>
                <w:rFonts w:hint="default"/>
                <w:sz w:val="18"/>
              </w:rPr>
            </w:pPr>
            <w:r>
              <w:rPr>
                <w:rFonts w:hint="default"/>
                <w:b/>
                <w:sz w:val="18"/>
              </w:rPr>
              <w:t>总体目标任务：</w:t>
            </w:r>
            <w:r>
              <w:rPr>
                <w:rFonts w:hint="default"/>
                <w:sz w:val="18"/>
              </w:rPr>
              <w:t>（用文字定性或定量表述总体情况）</w:t>
            </w:r>
          </w:p>
        </w:tc>
        <w:tc>
          <w:tcPr>
            <w:tcW w:w="5625" w:type="dxa"/>
          </w:tcPr>
          <w:p w14:paraId="0783D182">
            <w:pPr>
              <w:pStyle w:val="12"/>
              <w:keepNext w:val="0"/>
              <w:keepLines w:val="0"/>
              <w:suppressLineNumbers w:val="0"/>
              <w:spacing w:before="0" w:beforeAutospacing="0" w:after="0" w:afterAutospacing="0"/>
              <w:ind w:left="0" w:right="0"/>
              <w:rPr>
                <w:rFonts w:hint="default"/>
                <w:b/>
                <w:sz w:val="18"/>
              </w:rPr>
            </w:pPr>
          </w:p>
          <w:p w14:paraId="2DA07672">
            <w:pPr>
              <w:pStyle w:val="12"/>
              <w:keepNext w:val="0"/>
              <w:keepLines w:val="0"/>
              <w:suppressLineNumbers w:val="0"/>
              <w:spacing w:before="1" w:beforeAutospacing="0" w:after="0" w:afterAutospacing="0"/>
              <w:ind w:left="0" w:right="0"/>
              <w:rPr>
                <w:rFonts w:hint="default"/>
                <w:b/>
                <w:sz w:val="20"/>
              </w:rPr>
            </w:pPr>
          </w:p>
          <w:p w14:paraId="498D1DD5">
            <w:pPr>
              <w:pStyle w:val="12"/>
              <w:keepNext w:val="0"/>
              <w:keepLines w:val="0"/>
              <w:suppressLineNumbers w:val="0"/>
              <w:spacing w:before="0" w:beforeAutospacing="0" w:after="0" w:afterAutospacing="0"/>
              <w:ind w:left="39" w:right="0"/>
              <w:rPr>
                <w:rFonts w:hint="default"/>
                <w:b/>
                <w:sz w:val="18"/>
              </w:rPr>
            </w:pPr>
            <w:r>
              <w:rPr>
                <w:rFonts w:hint="default"/>
                <w:b/>
                <w:sz w:val="18"/>
              </w:rPr>
              <w:t>总体目标完成情况：</w:t>
            </w:r>
          </w:p>
        </w:tc>
        <w:tc>
          <w:tcPr>
            <w:tcW w:w="1590" w:type="dxa"/>
          </w:tcPr>
          <w:p w14:paraId="653B0BDB">
            <w:pPr>
              <w:pStyle w:val="12"/>
              <w:keepNext w:val="0"/>
              <w:keepLines w:val="0"/>
              <w:suppressLineNumbers w:val="0"/>
              <w:spacing w:before="0" w:beforeAutospacing="0" w:after="0" w:afterAutospacing="0"/>
              <w:ind w:left="0" w:right="0"/>
              <w:rPr>
                <w:rFonts w:hint="default" w:ascii="Times New Roman"/>
                <w:sz w:val="18"/>
              </w:rPr>
            </w:pPr>
          </w:p>
        </w:tc>
      </w:tr>
      <w:tr w14:paraId="7D069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2FD33116">
            <w:pPr>
              <w:pStyle w:val="12"/>
              <w:keepNext w:val="0"/>
              <w:keepLines w:val="0"/>
              <w:suppressLineNumbers w:val="0"/>
              <w:spacing w:before="8" w:beforeAutospacing="0" w:after="0" w:afterAutospacing="0"/>
              <w:ind w:left="0" w:right="0"/>
              <w:rPr>
                <w:rFonts w:hint="default"/>
                <w:b/>
                <w:sz w:val="14"/>
              </w:rPr>
            </w:pPr>
          </w:p>
          <w:p w14:paraId="1A99609A">
            <w:pPr>
              <w:pStyle w:val="12"/>
              <w:keepNext w:val="0"/>
              <w:keepLines w:val="0"/>
              <w:suppressLineNumbers w:val="0"/>
              <w:spacing w:before="0" w:beforeAutospacing="0" w:after="0" w:afterAutospacing="0"/>
              <w:ind w:left="31" w:right="0"/>
              <w:jc w:val="center"/>
              <w:rPr>
                <w:rFonts w:hint="default"/>
                <w:b/>
                <w:sz w:val="18"/>
              </w:rPr>
            </w:pPr>
            <w:r>
              <w:rPr>
                <w:rFonts w:hint="default"/>
                <w:b/>
                <w:w w:val="99"/>
                <w:sz w:val="18"/>
              </w:rPr>
              <w:t>1</w:t>
            </w:r>
          </w:p>
        </w:tc>
        <w:tc>
          <w:tcPr>
            <w:tcW w:w="5262" w:type="dxa"/>
          </w:tcPr>
          <w:p w14:paraId="19732600">
            <w:pPr>
              <w:pStyle w:val="12"/>
              <w:keepNext w:val="0"/>
              <w:keepLines w:val="0"/>
              <w:suppressLineNumbers w:val="0"/>
              <w:spacing w:before="8" w:beforeAutospacing="0" w:after="0" w:afterAutospacing="0"/>
              <w:ind w:left="0" w:right="0"/>
              <w:rPr>
                <w:rFonts w:hint="default"/>
                <w:b/>
                <w:sz w:val="14"/>
              </w:rPr>
            </w:pPr>
          </w:p>
          <w:p w14:paraId="00262AD9">
            <w:pPr>
              <w:pStyle w:val="12"/>
              <w:keepNext w:val="0"/>
              <w:keepLines w:val="0"/>
              <w:suppressLineNumbers w:val="0"/>
              <w:spacing w:before="0" w:beforeAutospacing="0" w:after="0" w:afterAutospacing="0"/>
              <w:ind w:left="37" w:right="0"/>
              <w:rPr>
                <w:rFonts w:hint="default"/>
                <w:sz w:val="18"/>
              </w:rPr>
            </w:pPr>
            <w:r>
              <w:rPr>
                <w:rFonts w:hint="eastAsia"/>
                <w:sz w:val="18"/>
                <w:lang w:val="en-US" w:eastAsia="zh-CN"/>
              </w:rPr>
              <w:t>坚持以习近平生态文明思想为指导，切实保障市民绿色、便捷、安全、高效出行，增强为民服务能力，推进绿色生活创建，助力绿色低碳发展。</w:t>
            </w:r>
          </w:p>
        </w:tc>
        <w:tc>
          <w:tcPr>
            <w:tcW w:w="5625" w:type="dxa"/>
          </w:tcPr>
          <w:p w14:paraId="45BBB21A">
            <w:pPr>
              <w:pStyle w:val="12"/>
              <w:keepNext w:val="0"/>
              <w:keepLines w:val="0"/>
              <w:suppressLineNumbers w:val="0"/>
              <w:spacing w:before="8" w:beforeAutospacing="0" w:after="0" w:afterAutospacing="0"/>
              <w:ind w:left="0" w:right="0"/>
              <w:rPr>
                <w:rFonts w:hint="default"/>
                <w:b/>
                <w:sz w:val="14"/>
              </w:rPr>
            </w:pPr>
          </w:p>
          <w:p w14:paraId="53248BA0">
            <w:pPr>
              <w:pStyle w:val="12"/>
              <w:keepNext w:val="0"/>
              <w:keepLines w:val="0"/>
              <w:suppressLineNumbers w:val="0"/>
              <w:spacing w:before="0" w:beforeAutospacing="0" w:after="0" w:afterAutospacing="0"/>
              <w:ind w:left="39" w:right="0"/>
              <w:rPr>
                <w:rFonts w:hint="default"/>
                <w:sz w:val="18"/>
              </w:rPr>
            </w:pPr>
            <w:r>
              <w:rPr>
                <w:rFonts w:hint="eastAsia"/>
                <w:sz w:val="18"/>
                <w:lang w:val="en-US" w:eastAsia="zh-CN"/>
              </w:rPr>
              <w:t>发展公共自行车公益服务，成为城市公共交通系统的重要补充，形成较为完善的公益、低碳、绿色、环保公共交通出行网络。</w:t>
            </w:r>
          </w:p>
        </w:tc>
        <w:tc>
          <w:tcPr>
            <w:tcW w:w="1590" w:type="dxa"/>
          </w:tcPr>
          <w:p w14:paraId="23D8FFEB">
            <w:pPr>
              <w:pStyle w:val="12"/>
              <w:keepNext w:val="0"/>
              <w:keepLines w:val="0"/>
              <w:suppressLineNumbers w:val="0"/>
              <w:spacing w:before="0" w:beforeAutospacing="0" w:after="0" w:afterAutospacing="0"/>
              <w:ind w:left="0" w:right="0"/>
              <w:rPr>
                <w:rFonts w:hint="default" w:ascii="Times New Roman"/>
                <w:sz w:val="18"/>
              </w:rPr>
            </w:pPr>
          </w:p>
        </w:tc>
      </w:tr>
      <w:tr w14:paraId="56D53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22C9891D">
            <w:pPr>
              <w:pStyle w:val="12"/>
              <w:keepNext w:val="0"/>
              <w:keepLines w:val="0"/>
              <w:suppressLineNumbers w:val="0"/>
              <w:spacing w:before="8" w:beforeAutospacing="0" w:after="0" w:afterAutospacing="0"/>
              <w:ind w:left="0" w:right="0"/>
              <w:rPr>
                <w:rFonts w:hint="default"/>
                <w:b/>
                <w:sz w:val="14"/>
              </w:rPr>
            </w:pPr>
          </w:p>
          <w:p w14:paraId="3112224D">
            <w:pPr>
              <w:pStyle w:val="12"/>
              <w:keepNext w:val="0"/>
              <w:keepLines w:val="0"/>
              <w:suppressLineNumbers w:val="0"/>
              <w:spacing w:before="0" w:beforeAutospacing="0" w:after="0" w:afterAutospacing="0"/>
              <w:ind w:left="31" w:right="0"/>
              <w:jc w:val="center"/>
              <w:rPr>
                <w:rFonts w:hint="default"/>
                <w:b/>
                <w:sz w:val="18"/>
              </w:rPr>
            </w:pPr>
            <w:r>
              <w:rPr>
                <w:rFonts w:hint="default"/>
                <w:b/>
                <w:w w:val="99"/>
                <w:sz w:val="18"/>
              </w:rPr>
              <w:t>2</w:t>
            </w:r>
          </w:p>
        </w:tc>
        <w:tc>
          <w:tcPr>
            <w:tcW w:w="5262" w:type="dxa"/>
          </w:tcPr>
          <w:p w14:paraId="344FFE5D">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充分发挥公共自行车环保、节能、便民、惠民、健身等特点，完善城区综合交通运输体系。</w:t>
            </w:r>
          </w:p>
        </w:tc>
        <w:tc>
          <w:tcPr>
            <w:tcW w:w="5625" w:type="dxa"/>
          </w:tcPr>
          <w:p w14:paraId="2326E0AA">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促进公共自行车服务系统健康运行和绿色公共交通网络发展，推进节能减排、绿色出行，缓解城市交通压力，提升城市生活品质，助力生态文明建设。</w:t>
            </w:r>
          </w:p>
        </w:tc>
        <w:tc>
          <w:tcPr>
            <w:tcW w:w="1590" w:type="dxa"/>
          </w:tcPr>
          <w:p w14:paraId="4D70BAE7">
            <w:pPr>
              <w:pStyle w:val="12"/>
              <w:keepNext w:val="0"/>
              <w:keepLines w:val="0"/>
              <w:suppressLineNumbers w:val="0"/>
              <w:spacing w:before="0" w:beforeAutospacing="0" w:after="0" w:afterAutospacing="0"/>
              <w:ind w:left="0" w:right="0"/>
              <w:rPr>
                <w:rFonts w:hint="default" w:ascii="Times New Roman"/>
                <w:sz w:val="18"/>
              </w:rPr>
            </w:pPr>
          </w:p>
        </w:tc>
      </w:tr>
      <w:tr w14:paraId="4F7B9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3087BE92">
            <w:pPr>
              <w:pStyle w:val="12"/>
              <w:keepNext w:val="0"/>
              <w:keepLines w:val="0"/>
              <w:suppressLineNumbers w:val="0"/>
              <w:spacing w:before="8" w:beforeAutospacing="0" w:after="0" w:afterAutospacing="0"/>
              <w:ind w:left="0" w:right="0"/>
              <w:rPr>
                <w:rFonts w:hint="default"/>
                <w:b/>
                <w:sz w:val="14"/>
              </w:rPr>
            </w:pPr>
          </w:p>
          <w:p w14:paraId="55F09373">
            <w:pPr>
              <w:pStyle w:val="12"/>
              <w:keepNext w:val="0"/>
              <w:keepLines w:val="0"/>
              <w:suppressLineNumbers w:val="0"/>
              <w:spacing w:before="0" w:beforeAutospacing="0" w:after="0" w:afterAutospacing="0"/>
              <w:ind w:left="31" w:right="0"/>
              <w:jc w:val="center"/>
              <w:rPr>
                <w:rFonts w:hint="default"/>
                <w:b/>
                <w:sz w:val="18"/>
              </w:rPr>
            </w:pPr>
            <w:r>
              <w:rPr>
                <w:rFonts w:hint="default"/>
                <w:b/>
                <w:w w:val="99"/>
                <w:sz w:val="18"/>
              </w:rPr>
              <w:t>3</w:t>
            </w:r>
          </w:p>
        </w:tc>
        <w:tc>
          <w:tcPr>
            <w:tcW w:w="5262" w:type="dxa"/>
          </w:tcPr>
          <w:p w14:paraId="31372A82">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按照省、市政府要求，建设城市公共自行车服务系统。</w:t>
            </w:r>
          </w:p>
        </w:tc>
        <w:tc>
          <w:tcPr>
            <w:tcW w:w="5625" w:type="dxa"/>
          </w:tcPr>
          <w:p w14:paraId="3920AE43">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是一项实实在在的政府性公益性便民惠民民心工程，缓解交通拥堵，减少环境污染，推进节能减排，提高幸福指数，充分展示生态城市形象，受到全市上下热烈欢迎和普遍赞誉。</w:t>
            </w:r>
          </w:p>
        </w:tc>
        <w:tc>
          <w:tcPr>
            <w:tcW w:w="1590" w:type="dxa"/>
          </w:tcPr>
          <w:p w14:paraId="469933D1">
            <w:pPr>
              <w:pStyle w:val="12"/>
              <w:keepNext w:val="0"/>
              <w:keepLines w:val="0"/>
              <w:suppressLineNumbers w:val="0"/>
              <w:spacing w:before="0" w:beforeAutospacing="0" w:after="0" w:afterAutospacing="0"/>
              <w:ind w:left="0" w:right="0"/>
              <w:rPr>
                <w:rFonts w:hint="default" w:ascii="Times New Roman"/>
                <w:sz w:val="18"/>
              </w:rPr>
            </w:pPr>
          </w:p>
        </w:tc>
      </w:tr>
      <w:tr w14:paraId="0AB61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08" w:type="dxa"/>
          </w:tcPr>
          <w:p w14:paraId="489C1AC1">
            <w:pPr>
              <w:pStyle w:val="12"/>
              <w:keepNext w:val="0"/>
              <w:keepLines w:val="0"/>
              <w:suppressLineNumbers w:val="0"/>
              <w:spacing w:before="0" w:beforeAutospacing="0" w:after="0" w:afterAutospacing="0"/>
              <w:ind w:left="0" w:right="0"/>
              <w:rPr>
                <w:rFonts w:hint="default"/>
                <w:b/>
                <w:sz w:val="18"/>
              </w:rPr>
            </w:pPr>
          </w:p>
          <w:p w14:paraId="6D2B8CB6">
            <w:pPr>
              <w:pStyle w:val="12"/>
              <w:keepNext w:val="0"/>
              <w:keepLines w:val="0"/>
              <w:suppressLineNumbers w:val="0"/>
              <w:spacing w:before="0" w:beforeAutospacing="0" w:after="0" w:afterAutospacing="0"/>
              <w:ind w:left="0" w:right="0"/>
              <w:rPr>
                <w:rFonts w:hint="default"/>
                <w:b/>
                <w:sz w:val="20"/>
              </w:rPr>
            </w:pPr>
          </w:p>
          <w:p w14:paraId="48CD2E71">
            <w:pPr>
              <w:pStyle w:val="12"/>
              <w:keepNext w:val="0"/>
              <w:keepLines w:val="0"/>
              <w:suppressLineNumbers w:val="0"/>
              <w:spacing w:before="1" w:beforeAutospacing="0" w:after="0" w:afterAutospacing="0"/>
              <w:ind w:left="220" w:right="184"/>
              <w:jc w:val="center"/>
              <w:rPr>
                <w:rFonts w:hint="default"/>
                <w:b/>
                <w:sz w:val="18"/>
              </w:rPr>
            </w:pPr>
            <w:r>
              <w:rPr>
                <w:rFonts w:hint="default"/>
                <w:b/>
                <w:sz w:val="18"/>
              </w:rPr>
              <w:t>（二）</w:t>
            </w:r>
          </w:p>
        </w:tc>
        <w:tc>
          <w:tcPr>
            <w:tcW w:w="5262" w:type="dxa"/>
          </w:tcPr>
          <w:p w14:paraId="158B18C7">
            <w:pPr>
              <w:pStyle w:val="12"/>
              <w:keepNext w:val="0"/>
              <w:keepLines w:val="0"/>
              <w:suppressLineNumbers w:val="0"/>
              <w:spacing w:before="0" w:beforeAutospacing="0" w:after="0" w:afterAutospacing="0"/>
              <w:ind w:left="0" w:right="0"/>
              <w:rPr>
                <w:rFonts w:hint="default"/>
                <w:b/>
                <w:sz w:val="18"/>
              </w:rPr>
            </w:pPr>
          </w:p>
          <w:p w14:paraId="351C2B89">
            <w:pPr>
              <w:pStyle w:val="12"/>
              <w:keepNext w:val="0"/>
              <w:keepLines w:val="0"/>
              <w:suppressLineNumbers w:val="0"/>
              <w:spacing w:before="0" w:beforeAutospacing="0" w:after="0" w:afterAutospacing="0"/>
              <w:ind w:left="0" w:right="0"/>
              <w:rPr>
                <w:rFonts w:hint="default"/>
                <w:b/>
                <w:sz w:val="20"/>
              </w:rPr>
            </w:pPr>
          </w:p>
          <w:p w14:paraId="5237AC8F">
            <w:pPr>
              <w:pStyle w:val="12"/>
              <w:keepNext w:val="0"/>
              <w:keepLines w:val="0"/>
              <w:suppressLineNumbers w:val="0"/>
              <w:spacing w:before="1" w:beforeAutospacing="0" w:after="0" w:afterAutospacing="0"/>
              <w:ind w:left="37" w:right="0"/>
              <w:rPr>
                <w:rFonts w:hint="default"/>
                <w:sz w:val="18"/>
              </w:rPr>
            </w:pPr>
            <w:r>
              <w:rPr>
                <w:rFonts w:hint="default"/>
                <w:b/>
                <w:sz w:val="18"/>
              </w:rPr>
              <w:t>年度绩效目标：</w:t>
            </w:r>
            <w:r>
              <w:rPr>
                <w:rFonts w:hint="default"/>
                <w:sz w:val="18"/>
              </w:rPr>
              <w:t>（用文字定性或定量表述年度情况）</w:t>
            </w:r>
          </w:p>
        </w:tc>
        <w:tc>
          <w:tcPr>
            <w:tcW w:w="5625" w:type="dxa"/>
          </w:tcPr>
          <w:p w14:paraId="3DD20D46">
            <w:pPr>
              <w:pStyle w:val="12"/>
              <w:keepNext w:val="0"/>
              <w:keepLines w:val="0"/>
              <w:suppressLineNumbers w:val="0"/>
              <w:spacing w:before="0" w:beforeAutospacing="0" w:after="0" w:afterAutospacing="0"/>
              <w:ind w:left="0" w:right="0"/>
              <w:rPr>
                <w:rFonts w:hint="default"/>
                <w:b/>
                <w:sz w:val="18"/>
              </w:rPr>
            </w:pPr>
          </w:p>
          <w:p w14:paraId="74ED17E0">
            <w:pPr>
              <w:pStyle w:val="12"/>
              <w:keepNext w:val="0"/>
              <w:keepLines w:val="0"/>
              <w:suppressLineNumbers w:val="0"/>
              <w:spacing w:before="0" w:beforeAutospacing="0" w:after="0" w:afterAutospacing="0"/>
              <w:ind w:left="0" w:right="0"/>
              <w:rPr>
                <w:rFonts w:hint="default"/>
                <w:b/>
                <w:sz w:val="20"/>
              </w:rPr>
            </w:pPr>
          </w:p>
          <w:p w14:paraId="70EF65EE">
            <w:pPr>
              <w:pStyle w:val="12"/>
              <w:keepNext w:val="0"/>
              <w:keepLines w:val="0"/>
              <w:suppressLineNumbers w:val="0"/>
              <w:spacing w:before="1" w:beforeAutospacing="0" w:after="0" w:afterAutospacing="0"/>
              <w:ind w:left="39" w:right="0"/>
              <w:rPr>
                <w:rFonts w:hint="default"/>
                <w:b/>
                <w:sz w:val="18"/>
              </w:rPr>
            </w:pPr>
            <w:r>
              <w:rPr>
                <w:rFonts w:hint="default"/>
                <w:b/>
                <w:sz w:val="18"/>
              </w:rPr>
              <w:t>年度绩效目标完成情况：</w:t>
            </w:r>
          </w:p>
        </w:tc>
        <w:tc>
          <w:tcPr>
            <w:tcW w:w="1590" w:type="dxa"/>
          </w:tcPr>
          <w:p w14:paraId="3295EE25">
            <w:pPr>
              <w:pStyle w:val="12"/>
              <w:keepNext w:val="0"/>
              <w:keepLines w:val="0"/>
              <w:suppressLineNumbers w:val="0"/>
              <w:spacing w:before="0" w:beforeAutospacing="0" w:after="0" w:afterAutospacing="0"/>
              <w:ind w:left="0" w:right="0"/>
              <w:rPr>
                <w:rFonts w:hint="default" w:ascii="Times New Roman"/>
                <w:sz w:val="18"/>
              </w:rPr>
            </w:pPr>
          </w:p>
        </w:tc>
      </w:tr>
      <w:tr w14:paraId="3F49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7B97945D">
            <w:pPr>
              <w:pStyle w:val="12"/>
              <w:keepNext w:val="0"/>
              <w:keepLines w:val="0"/>
              <w:suppressLineNumbers w:val="0"/>
              <w:spacing w:before="8" w:beforeAutospacing="0" w:after="0" w:afterAutospacing="0"/>
              <w:ind w:left="0" w:right="0"/>
              <w:rPr>
                <w:rFonts w:hint="default"/>
                <w:b/>
                <w:sz w:val="14"/>
              </w:rPr>
            </w:pPr>
          </w:p>
          <w:p w14:paraId="114C7D34">
            <w:pPr>
              <w:pStyle w:val="12"/>
              <w:keepNext w:val="0"/>
              <w:keepLines w:val="0"/>
              <w:suppressLineNumbers w:val="0"/>
              <w:spacing w:before="0" w:beforeAutospacing="0" w:after="0" w:afterAutospacing="0"/>
              <w:ind w:left="31" w:right="0"/>
              <w:jc w:val="center"/>
              <w:rPr>
                <w:rFonts w:hint="default"/>
                <w:b/>
                <w:sz w:val="18"/>
              </w:rPr>
            </w:pPr>
            <w:r>
              <w:rPr>
                <w:rFonts w:hint="default"/>
                <w:b/>
                <w:w w:val="99"/>
                <w:sz w:val="18"/>
              </w:rPr>
              <w:t>1</w:t>
            </w:r>
          </w:p>
        </w:tc>
        <w:tc>
          <w:tcPr>
            <w:tcW w:w="5262" w:type="dxa"/>
          </w:tcPr>
          <w:p w14:paraId="216247D0">
            <w:pPr>
              <w:pStyle w:val="12"/>
              <w:keepNext w:val="0"/>
              <w:keepLines w:val="0"/>
              <w:suppressLineNumbers w:val="0"/>
              <w:spacing w:before="8" w:beforeAutospacing="0" w:after="0" w:afterAutospacing="0"/>
              <w:ind w:left="0" w:right="0"/>
              <w:rPr>
                <w:rFonts w:hint="default"/>
                <w:b/>
                <w:sz w:val="14"/>
              </w:rPr>
            </w:pPr>
          </w:p>
          <w:p w14:paraId="3B1499C7">
            <w:pPr>
              <w:pStyle w:val="12"/>
              <w:keepNext w:val="0"/>
              <w:keepLines w:val="0"/>
              <w:suppressLineNumbers w:val="0"/>
              <w:spacing w:before="0" w:beforeAutospacing="0" w:after="0" w:afterAutospacing="0"/>
              <w:ind w:left="37" w:right="0"/>
              <w:rPr>
                <w:rFonts w:hint="default"/>
                <w:sz w:val="18"/>
              </w:rPr>
            </w:pPr>
            <w:r>
              <w:rPr>
                <w:rFonts w:hint="eastAsia"/>
                <w:sz w:val="18"/>
                <w:lang w:val="en-US" w:eastAsia="zh-CN"/>
              </w:rPr>
              <w:t>公共自行车运行费（四期）项目主要保障</w:t>
            </w:r>
            <w:r>
              <w:rPr>
                <w:rFonts w:hint="default"/>
                <w:sz w:val="18"/>
                <w:lang w:val="en-US" w:eastAsia="zh-CN"/>
              </w:rPr>
              <w:t>70</w:t>
            </w:r>
            <w:r>
              <w:rPr>
                <w:rFonts w:hint="eastAsia"/>
                <w:sz w:val="18"/>
                <w:lang w:val="en-US" w:eastAsia="zh-CN"/>
              </w:rPr>
              <w:t>个公共自行车站点、</w:t>
            </w:r>
            <w:r>
              <w:rPr>
                <w:rFonts w:hint="default"/>
                <w:sz w:val="18"/>
                <w:lang w:val="en-US" w:eastAsia="zh-CN"/>
              </w:rPr>
              <w:t>2500</w:t>
            </w:r>
            <w:r>
              <w:rPr>
                <w:rFonts w:hint="eastAsia"/>
                <w:sz w:val="18"/>
                <w:lang w:val="en-US" w:eastAsia="zh-CN"/>
              </w:rPr>
              <w:t>辆公共自行车公益惠民服务。</w:t>
            </w:r>
          </w:p>
        </w:tc>
        <w:tc>
          <w:tcPr>
            <w:tcW w:w="5625" w:type="dxa"/>
          </w:tcPr>
          <w:p w14:paraId="599FD461">
            <w:pPr>
              <w:pStyle w:val="12"/>
              <w:keepNext w:val="0"/>
              <w:keepLines w:val="0"/>
              <w:suppressLineNumbers w:val="0"/>
              <w:spacing w:before="8" w:beforeAutospacing="0" w:after="0" w:afterAutospacing="0"/>
              <w:ind w:left="0" w:right="0"/>
              <w:rPr>
                <w:rFonts w:hint="default"/>
                <w:b/>
                <w:sz w:val="14"/>
              </w:rPr>
            </w:pPr>
          </w:p>
          <w:p w14:paraId="43BA7F67">
            <w:pPr>
              <w:pStyle w:val="12"/>
              <w:keepNext w:val="0"/>
              <w:keepLines w:val="0"/>
              <w:suppressLineNumbers w:val="0"/>
              <w:spacing w:before="0" w:beforeAutospacing="0" w:after="0" w:afterAutospacing="0"/>
              <w:ind w:left="39" w:right="0"/>
              <w:rPr>
                <w:rFonts w:hint="default"/>
                <w:sz w:val="18"/>
              </w:rPr>
            </w:pPr>
            <w:r>
              <w:rPr>
                <w:rFonts w:hint="eastAsia"/>
                <w:sz w:val="18"/>
                <w:lang w:val="en-US" w:eastAsia="zh-CN"/>
              </w:rPr>
              <w:t>年度运营公共自行车任务与项目计划数相符，切实保障低碳绿色出行，缓解城镇交通拥堵，有效减少大气污染和能源消耗。</w:t>
            </w:r>
          </w:p>
        </w:tc>
        <w:tc>
          <w:tcPr>
            <w:tcW w:w="1590" w:type="dxa"/>
          </w:tcPr>
          <w:p w14:paraId="6292D6C3">
            <w:pPr>
              <w:pStyle w:val="12"/>
              <w:keepNext w:val="0"/>
              <w:keepLines w:val="0"/>
              <w:suppressLineNumbers w:val="0"/>
              <w:spacing w:before="0" w:beforeAutospacing="0" w:after="0" w:afterAutospacing="0"/>
              <w:ind w:left="0" w:right="0"/>
              <w:rPr>
                <w:rFonts w:hint="default" w:ascii="Times New Roman"/>
                <w:sz w:val="18"/>
              </w:rPr>
            </w:pPr>
          </w:p>
        </w:tc>
      </w:tr>
      <w:tr w14:paraId="1F00F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7B30492E">
            <w:pPr>
              <w:pStyle w:val="12"/>
              <w:keepNext w:val="0"/>
              <w:keepLines w:val="0"/>
              <w:suppressLineNumbers w:val="0"/>
              <w:spacing w:before="8" w:beforeAutospacing="0" w:after="0" w:afterAutospacing="0"/>
              <w:ind w:left="0" w:right="0"/>
              <w:rPr>
                <w:rFonts w:hint="default"/>
                <w:b/>
                <w:sz w:val="14"/>
              </w:rPr>
            </w:pPr>
          </w:p>
          <w:p w14:paraId="44413C65">
            <w:pPr>
              <w:pStyle w:val="12"/>
              <w:keepNext w:val="0"/>
              <w:keepLines w:val="0"/>
              <w:suppressLineNumbers w:val="0"/>
              <w:spacing w:before="0" w:beforeAutospacing="0" w:after="0" w:afterAutospacing="0"/>
              <w:ind w:left="31" w:right="0"/>
              <w:jc w:val="center"/>
              <w:rPr>
                <w:rFonts w:hint="default"/>
                <w:b/>
                <w:sz w:val="18"/>
              </w:rPr>
            </w:pPr>
            <w:r>
              <w:rPr>
                <w:rFonts w:hint="default"/>
                <w:b/>
                <w:w w:val="99"/>
                <w:sz w:val="18"/>
              </w:rPr>
              <w:t>2</w:t>
            </w:r>
          </w:p>
        </w:tc>
        <w:tc>
          <w:tcPr>
            <w:tcW w:w="5262" w:type="dxa"/>
          </w:tcPr>
          <w:p w14:paraId="47907F04">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项目的运行对简约适度与绿色低碳生活理念的提升、生态环保意识的增强起到了积极作用。</w:t>
            </w:r>
          </w:p>
        </w:tc>
        <w:tc>
          <w:tcPr>
            <w:tcW w:w="5625" w:type="dxa"/>
          </w:tcPr>
          <w:p w14:paraId="140EB6EE">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取得了良好的经济效益、社会效益和生态效益，成为宣传贯彻习近平生态文明思想的重要载体、助力碳达峰和碳中和行动的积极举措。</w:t>
            </w:r>
          </w:p>
        </w:tc>
        <w:tc>
          <w:tcPr>
            <w:tcW w:w="1590" w:type="dxa"/>
          </w:tcPr>
          <w:p w14:paraId="6D1218C6">
            <w:pPr>
              <w:pStyle w:val="12"/>
              <w:keepNext w:val="0"/>
              <w:keepLines w:val="0"/>
              <w:suppressLineNumbers w:val="0"/>
              <w:spacing w:before="0" w:beforeAutospacing="0" w:after="0" w:afterAutospacing="0"/>
              <w:ind w:left="0" w:right="0"/>
              <w:rPr>
                <w:rFonts w:hint="default" w:ascii="Times New Roman"/>
                <w:sz w:val="18"/>
              </w:rPr>
            </w:pPr>
          </w:p>
        </w:tc>
      </w:tr>
      <w:tr w14:paraId="29040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tcPr>
          <w:p w14:paraId="31066C77">
            <w:pPr>
              <w:pStyle w:val="12"/>
              <w:keepNext w:val="0"/>
              <w:keepLines w:val="0"/>
              <w:suppressLineNumbers w:val="0"/>
              <w:spacing w:before="8" w:beforeAutospacing="0" w:after="0" w:afterAutospacing="0"/>
              <w:ind w:left="0" w:right="0"/>
              <w:rPr>
                <w:rFonts w:hint="default"/>
                <w:b/>
                <w:sz w:val="14"/>
              </w:rPr>
            </w:pPr>
          </w:p>
          <w:p w14:paraId="62DBF1D6">
            <w:pPr>
              <w:pStyle w:val="12"/>
              <w:keepNext w:val="0"/>
              <w:keepLines w:val="0"/>
              <w:suppressLineNumbers w:val="0"/>
              <w:spacing w:before="1" w:beforeAutospacing="0" w:after="0" w:afterAutospacing="0"/>
              <w:ind w:left="31" w:right="0"/>
              <w:jc w:val="center"/>
              <w:rPr>
                <w:rFonts w:hint="default"/>
                <w:b/>
                <w:sz w:val="18"/>
              </w:rPr>
            </w:pPr>
            <w:r>
              <w:rPr>
                <w:rFonts w:hint="default"/>
                <w:b/>
                <w:w w:val="99"/>
                <w:sz w:val="18"/>
              </w:rPr>
              <w:t>3</w:t>
            </w:r>
          </w:p>
        </w:tc>
        <w:tc>
          <w:tcPr>
            <w:tcW w:w="5262" w:type="dxa"/>
          </w:tcPr>
          <w:p w14:paraId="001CA58C">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倡导简约适度与绿色低碳生活方式，解决城市交通短途接驳服务绿色出行问题。</w:t>
            </w:r>
          </w:p>
        </w:tc>
        <w:tc>
          <w:tcPr>
            <w:tcW w:w="5625" w:type="dxa"/>
          </w:tcPr>
          <w:p w14:paraId="4E4ADC1A">
            <w:pPr>
              <w:pStyle w:val="12"/>
              <w:keepNext w:val="0"/>
              <w:keepLines w:val="0"/>
              <w:suppressLineNumbers w:val="0"/>
              <w:spacing w:before="0" w:beforeAutospacing="0" w:after="0" w:afterAutospacing="0"/>
              <w:ind w:left="0" w:right="0"/>
              <w:rPr>
                <w:rFonts w:hint="default" w:ascii="Times New Roman"/>
                <w:sz w:val="18"/>
              </w:rPr>
            </w:pPr>
            <w:r>
              <w:rPr>
                <w:rFonts w:hint="eastAsia"/>
                <w:sz w:val="18"/>
                <w:lang w:val="en-US" w:eastAsia="zh-CN"/>
              </w:rPr>
              <w:t>在便利绿色出行、畅享绿色生活、减轻环境污染、缓解交通压力、维护市容秩序、助力文明创建、促进全民健身、普惠民生福祉等方面发挥了积极作用。</w:t>
            </w:r>
          </w:p>
        </w:tc>
        <w:tc>
          <w:tcPr>
            <w:tcW w:w="1590" w:type="dxa"/>
          </w:tcPr>
          <w:p w14:paraId="7BFC515A">
            <w:pPr>
              <w:pStyle w:val="12"/>
              <w:keepNext w:val="0"/>
              <w:keepLines w:val="0"/>
              <w:suppressLineNumbers w:val="0"/>
              <w:spacing w:before="0" w:beforeAutospacing="0" w:after="0" w:afterAutospacing="0"/>
              <w:ind w:left="0" w:right="0"/>
              <w:rPr>
                <w:rFonts w:hint="default" w:ascii="Times New Roman"/>
                <w:sz w:val="18"/>
              </w:rPr>
            </w:pPr>
          </w:p>
        </w:tc>
      </w:tr>
    </w:tbl>
    <w:p w14:paraId="5F94B328">
      <w:pPr>
        <w:spacing w:after="0"/>
        <w:rPr>
          <w:rFonts w:ascii="Times New Roman"/>
          <w:sz w:val="18"/>
        </w:rPr>
        <w:sectPr>
          <w:type w:val="continuous"/>
          <w:pgSz w:w="16838" w:h="11911" w:orient="landscape"/>
          <w:pgMar w:top="1480" w:right="1582" w:bottom="1417" w:left="1582" w:header="0" w:footer="1383" w:gutter="0"/>
          <w:cols w:space="0" w:num="1"/>
          <w:rtlGutter w:val="0"/>
          <w:docGrid w:linePitch="0" w:charSpace="0"/>
        </w:sectPr>
      </w:pPr>
    </w:p>
    <w:p w14:paraId="4B37532C">
      <w:pPr>
        <w:spacing w:before="40"/>
        <w:ind w:left="178" w:right="0" w:firstLine="0"/>
        <w:jc w:val="left"/>
        <w:rPr>
          <w:rFonts w:hint="eastAsia" w:ascii="黑体" w:eastAsia="黑体"/>
          <w:sz w:val="28"/>
        </w:rPr>
      </w:pPr>
      <w:r>
        <w:rPr>
          <w:rFonts w:hint="eastAsia" w:ascii="黑体" w:eastAsia="黑体"/>
          <w:sz w:val="28"/>
        </w:rPr>
        <w:t>附表</w:t>
      </w:r>
      <w:r>
        <w:rPr>
          <w:rFonts w:hint="eastAsia" w:ascii="黑体" w:eastAsia="黑体"/>
          <w:sz w:val="28"/>
          <w:lang w:val="en-US" w:eastAsia="zh-CN"/>
        </w:rPr>
        <w:t>8-</w:t>
      </w:r>
      <w:r>
        <w:rPr>
          <w:rFonts w:hint="eastAsia" w:ascii="黑体" w:eastAsia="黑体"/>
          <w:sz w:val="28"/>
        </w:rPr>
        <w:t>2</w:t>
      </w:r>
    </w:p>
    <w:p w14:paraId="11A9E867">
      <w:pPr>
        <w:pStyle w:val="4"/>
        <w:spacing w:before="3"/>
        <w:jc w:val="center"/>
        <w:rPr>
          <w:rFonts w:hint="eastAsia" w:ascii="黑体" w:hAnsi="黑体" w:eastAsia="黑体" w:cs="黑体"/>
          <w:b/>
          <w:bCs/>
          <w:lang w:eastAsia="zh-CN"/>
        </w:rPr>
      </w:pPr>
      <w:r>
        <w:rPr>
          <w:rFonts w:hint="eastAsia" w:ascii="黑体" w:hAnsi="黑体" w:eastAsia="黑体" w:cs="黑体"/>
          <w:b/>
          <w:bCs/>
          <w:lang w:val="en-US" w:eastAsia="zh-CN"/>
        </w:rPr>
        <w:t>公共自行车运行费（四期）</w:t>
      </w:r>
      <w:r>
        <w:rPr>
          <w:rFonts w:hint="eastAsia" w:ascii="黑体" w:hAnsi="黑体" w:eastAsia="黑体" w:cs="黑体"/>
          <w:b/>
          <w:bCs/>
        </w:rPr>
        <w:t>项目绩效评价问题清</w:t>
      </w:r>
      <w:r>
        <w:rPr>
          <w:rFonts w:hint="eastAsia" w:ascii="黑体" w:hAnsi="黑体" w:eastAsia="黑体" w:cs="黑体"/>
          <w:b/>
          <w:bCs/>
          <w:lang w:eastAsia="zh-CN"/>
        </w:rPr>
        <w:t>单</w:t>
      </w:r>
    </w:p>
    <w:tbl>
      <w:tblPr>
        <w:tblStyle w:val="8"/>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14:paraId="0A7A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274" w:type="dxa"/>
          </w:tcPr>
          <w:p w14:paraId="28FF2D51">
            <w:pPr>
              <w:pStyle w:val="12"/>
              <w:keepNext w:val="0"/>
              <w:keepLines w:val="0"/>
              <w:suppressLineNumbers w:val="0"/>
              <w:spacing w:before="83" w:beforeAutospacing="0" w:after="0" w:afterAutospacing="0"/>
              <w:ind w:left="685" w:right="0"/>
              <w:rPr>
                <w:rFonts w:hint="default"/>
                <w:b/>
                <w:sz w:val="22"/>
              </w:rPr>
            </w:pPr>
            <w:r>
              <w:rPr>
                <w:rFonts w:hint="default"/>
                <w:b/>
                <w:sz w:val="22"/>
              </w:rPr>
              <w:t>问题分类</w:t>
            </w:r>
          </w:p>
        </w:tc>
        <w:tc>
          <w:tcPr>
            <w:tcW w:w="970" w:type="dxa"/>
          </w:tcPr>
          <w:p w14:paraId="550355D7">
            <w:pPr>
              <w:pStyle w:val="12"/>
              <w:keepNext w:val="0"/>
              <w:keepLines w:val="0"/>
              <w:suppressLineNumbers w:val="0"/>
              <w:spacing w:before="83" w:beforeAutospacing="0" w:after="0" w:afterAutospacing="0"/>
              <w:ind w:left="469" w:right="438"/>
              <w:jc w:val="center"/>
              <w:rPr>
                <w:rFonts w:hint="default"/>
                <w:b/>
                <w:sz w:val="22"/>
              </w:rPr>
            </w:pPr>
            <w:r>
              <w:rPr>
                <w:rFonts w:hint="default"/>
                <w:b/>
                <w:sz w:val="22"/>
              </w:rPr>
              <w:t>序号</w:t>
            </w:r>
          </w:p>
        </w:tc>
        <w:tc>
          <w:tcPr>
            <w:tcW w:w="2047" w:type="dxa"/>
          </w:tcPr>
          <w:p w14:paraId="11747CAB">
            <w:pPr>
              <w:pStyle w:val="12"/>
              <w:keepNext w:val="0"/>
              <w:keepLines w:val="0"/>
              <w:suppressLineNumbers w:val="0"/>
              <w:spacing w:before="83" w:beforeAutospacing="0" w:after="0" w:afterAutospacing="0"/>
              <w:ind w:left="351" w:right="0"/>
              <w:rPr>
                <w:rFonts w:hint="default"/>
                <w:b/>
                <w:sz w:val="22"/>
              </w:rPr>
            </w:pPr>
            <w:r>
              <w:rPr>
                <w:rFonts w:hint="default"/>
                <w:b/>
                <w:sz w:val="22"/>
              </w:rPr>
              <w:t>责任部门（单位）</w:t>
            </w:r>
          </w:p>
        </w:tc>
        <w:tc>
          <w:tcPr>
            <w:tcW w:w="3355" w:type="dxa"/>
          </w:tcPr>
          <w:p w14:paraId="0A65582F">
            <w:pPr>
              <w:pStyle w:val="12"/>
              <w:keepNext w:val="0"/>
              <w:keepLines w:val="0"/>
              <w:suppressLineNumbers w:val="0"/>
              <w:spacing w:before="83" w:beforeAutospacing="0" w:after="0" w:afterAutospacing="0"/>
              <w:ind w:left="1248" w:right="1216"/>
              <w:jc w:val="center"/>
              <w:rPr>
                <w:rFonts w:hint="default"/>
                <w:b/>
                <w:sz w:val="22"/>
              </w:rPr>
            </w:pPr>
            <w:r>
              <w:rPr>
                <w:rFonts w:hint="default"/>
                <w:b/>
                <w:sz w:val="22"/>
              </w:rPr>
              <w:t>问题描述</w:t>
            </w:r>
          </w:p>
        </w:tc>
        <w:tc>
          <w:tcPr>
            <w:tcW w:w="3455" w:type="dxa"/>
          </w:tcPr>
          <w:p w14:paraId="435272E0">
            <w:pPr>
              <w:pStyle w:val="12"/>
              <w:keepNext w:val="0"/>
              <w:keepLines w:val="0"/>
              <w:suppressLineNumbers w:val="0"/>
              <w:spacing w:before="83" w:beforeAutospacing="0" w:after="0" w:afterAutospacing="0"/>
              <w:ind w:left="1296" w:right="1266"/>
              <w:jc w:val="center"/>
              <w:rPr>
                <w:rFonts w:hint="default"/>
                <w:b/>
                <w:sz w:val="22"/>
              </w:rPr>
            </w:pPr>
            <w:r>
              <w:rPr>
                <w:rFonts w:hint="default"/>
                <w:b/>
                <w:sz w:val="22"/>
              </w:rPr>
              <w:t>整改建议</w:t>
            </w:r>
          </w:p>
        </w:tc>
        <w:tc>
          <w:tcPr>
            <w:tcW w:w="1450" w:type="dxa"/>
          </w:tcPr>
          <w:p w14:paraId="0A2B6306">
            <w:pPr>
              <w:pStyle w:val="12"/>
              <w:keepNext w:val="0"/>
              <w:keepLines w:val="0"/>
              <w:suppressLineNumbers w:val="0"/>
              <w:spacing w:before="83" w:beforeAutospacing="0" w:after="0" w:afterAutospacing="0"/>
              <w:ind w:left="510" w:right="478"/>
              <w:jc w:val="center"/>
              <w:rPr>
                <w:rFonts w:hint="default"/>
                <w:b/>
                <w:sz w:val="22"/>
              </w:rPr>
            </w:pPr>
            <w:r>
              <w:rPr>
                <w:rFonts w:hint="default"/>
                <w:b/>
                <w:sz w:val="22"/>
              </w:rPr>
              <w:t>备注</w:t>
            </w:r>
          </w:p>
        </w:tc>
      </w:tr>
      <w:tr w14:paraId="63546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274" w:type="dxa"/>
            <w:tcBorders>
              <w:bottom w:val="nil"/>
            </w:tcBorders>
          </w:tcPr>
          <w:p w14:paraId="5B195499">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项目决策存在的问题</w:t>
            </w:r>
          </w:p>
        </w:tc>
        <w:tc>
          <w:tcPr>
            <w:tcW w:w="970" w:type="dxa"/>
          </w:tcPr>
          <w:p w14:paraId="4C6C1EA3">
            <w:pPr>
              <w:pStyle w:val="12"/>
              <w:keepNext w:val="0"/>
              <w:keepLines w:val="0"/>
              <w:suppressLineNumbers w:val="0"/>
              <w:spacing w:before="82" w:beforeAutospacing="0" w:after="0" w:afterAutospacing="0"/>
              <w:ind w:left="34" w:right="0"/>
              <w:jc w:val="center"/>
              <w:rPr>
                <w:rFonts w:hint="default"/>
                <w:b/>
                <w:sz w:val="22"/>
              </w:rPr>
            </w:pPr>
            <w:r>
              <w:rPr>
                <w:rFonts w:hint="default"/>
                <w:b/>
                <w:w w:val="99"/>
                <w:sz w:val="22"/>
              </w:rPr>
              <w:t>1</w:t>
            </w:r>
          </w:p>
        </w:tc>
        <w:tc>
          <w:tcPr>
            <w:tcW w:w="2047" w:type="dxa"/>
          </w:tcPr>
          <w:p w14:paraId="744BF67C">
            <w:pPr>
              <w:pStyle w:val="12"/>
              <w:keepNext w:val="0"/>
              <w:keepLines w:val="0"/>
              <w:suppressLineNumbers w:val="0"/>
              <w:spacing w:before="0" w:beforeAutospacing="0" w:after="0" w:afterAutospacing="0"/>
              <w:ind w:left="0" w:right="0"/>
              <w:rPr>
                <w:rFonts w:hint="default" w:ascii="Times New Roman"/>
                <w:sz w:val="22"/>
              </w:rPr>
            </w:pPr>
          </w:p>
        </w:tc>
        <w:tc>
          <w:tcPr>
            <w:tcW w:w="3355" w:type="dxa"/>
          </w:tcPr>
          <w:p w14:paraId="5AD002C1">
            <w:pPr>
              <w:pStyle w:val="12"/>
              <w:keepNext w:val="0"/>
              <w:keepLines w:val="0"/>
              <w:suppressLineNumbers w:val="0"/>
              <w:spacing w:before="0" w:beforeAutospacing="0" w:after="0" w:afterAutospacing="0"/>
              <w:ind w:left="0" w:right="0"/>
              <w:rPr>
                <w:rFonts w:hint="default" w:ascii="Times New Roman"/>
                <w:sz w:val="22"/>
              </w:rPr>
            </w:pPr>
          </w:p>
        </w:tc>
        <w:tc>
          <w:tcPr>
            <w:tcW w:w="3455" w:type="dxa"/>
          </w:tcPr>
          <w:p w14:paraId="7D996EC4">
            <w:pPr>
              <w:pStyle w:val="12"/>
              <w:keepNext w:val="0"/>
              <w:keepLines w:val="0"/>
              <w:suppressLineNumbers w:val="0"/>
              <w:spacing w:before="0" w:beforeAutospacing="0" w:after="0" w:afterAutospacing="0"/>
              <w:ind w:left="0" w:right="0"/>
              <w:rPr>
                <w:rFonts w:hint="default" w:ascii="Times New Roman"/>
                <w:sz w:val="22"/>
              </w:rPr>
            </w:pPr>
          </w:p>
        </w:tc>
        <w:tc>
          <w:tcPr>
            <w:tcW w:w="1450" w:type="dxa"/>
          </w:tcPr>
          <w:p w14:paraId="5AE7546C">
            <w:pPr>
              <w:pStyle w:val="12"/>
              <w:keepNext w:val="0"/>
              <w:keepLines w:val="0"/>
              <w:suppressLineNumbers w:val="0"/>
              <w:spacing w:before="0" w:beforeAutospacing="0" w:after="0" w:afterAutospacing="0"/>
              <w:ind w:left="0" w:right="0"/>
              <w:rPr>
                <w:rFonts w:hint="default" w:ascii="Times New Roman"/>
                <w:sz w:val="22"/>
              </w:rPr>
            </w:pPr>
          </w:p>
        </w:tc>
      </w:tr>
      <w:tr w14:paraId="64DDC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 w:hRule="atLeast"/>
        </w:trPr>
        <w:tc>
          <w:tcPr>
            <w:tcW w:w="2274" w:type="dxa"/>
            <w:tcBorders>
              <w:top w:val="nil"/>
              <w:bottom w:val="nil"/>
            </w:tcBorders>
          </w:tcPr>
          <w:p w14:paraId="40185ECE">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w:t>
            </w:r>
            <w:r>
              <w:rPr>
                <w:rFonts w:hint="eastAsia"/>
                <w:sz w:val="20"/>
                <w:szCs w:val="20"/>
                <w:lang w:eastAsia="zh-CN"/>
              </w:rPr>
              <w:t>包括项目立项</w:t>
            </w:r>
            <w:r>
              <w:rPr>
                <w:rFonts w:hint="default"/>
                <w:sz w:val="20"/>
                <w:szCs w:val="20"/>
              </w:rPr>
              <w:t>、绩</w:t>
            </w:r>
          </w:p>
        </w:tc>
        <w:tc>
          <w:tcPr>
            <w:tcW w:w="970" w:type="dxa"/>
            <w:vMerge w:val="restart"/>
          </w:tcPr>
          <w:p w14:paraId="420472D3">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2</w:t>
            </w:r>
          </w:p>
        </w:tc>
        <w:tc>
          <w:tcPr>
            <w:tcW w:w="2047" w:type="dxa"/>
            <w:vMerge w:val="restart"/>
          </w:tcPr>
          <w:p w14:paraId="1B956909">
            <w:pPr>
              <w:pStyle w:val="12"/>
              <w:keepNext w:val="0"/>
              <w:keepLines w:val="0"/>
              <w:suppressLineNumbers w:val="0"/>
              <w:spacing w:before="0" w:beforeAutospacing="0" w:after="0" w:afterAutospacing="0"/>
              <w:ind w:left="0" w:right="0"/>
              <w:rPr>
                <w:rFonts w:hint="default" w:ascii="Times New Roman"/>
                <w:sz w:val="22"/>
              </w:rPr>
            </w:pPr>
          </w:p>
        </w:tc>
        <w:tc>
          <w:tcPr>
            <w:tcW w:w="3355" w:type="dxa"/>
            <w:vMerge w:val="restart"/>
          </w:tcPr>
          <w:p w14:paraId="47C7D95E">
            <w:pPr>
              <w:pStyle w:val="12"/>
              <w:keepNext w:val="0"/>
              <w:keepLines w:val="0"/>
              <w:suppressLineNumbers w:val="0"/>
              <w:spacing w:before="0" w:beforeAutospacing="0" w:after="0" w:afterAutospacing="0"/>
              <w:ind w:left="0" w:right="0"/>
              <w:rPr>
                <w:rFonts w:hint="default" w:ascii="Times New Roman"/>
                <w:sz w:val="22"/>
              </w:rPr>
            </w:pPr>
          </w:p>
        </w:tc>
        <w:tc>
          <w:tcPr>
            <w:tcW w:w="3455" w:type="dxa"/>
            <w:vMerge w:val="restart"/>
          </w:tcPr>
          <w:p w14:paraId="3D76AA10">
            <w:pPr>
              <w:pStyle w:val="12"/>
              <w:keepNext w:val="0"/>
              <w:keepLines w:val="0"/>
              <w:suppressLineNumbers w:val="0"/>
              <w:spacing w:before="0" w:beforeAutospacing="0" w:after="0" w:afterAutospacing="0"/>
              <w:ind w:left="0" w:right="0"/>
              <w:rPr>
                <w:rFonts w:hint="default" w:ascii="Times New Roman"/>
                <w:sz w:val="22"/>
              </w:rPr>
            </w:pPr>
          </w:p>
        </w:tc>
        <w:tc>
          <w:tcPr>
            <w:tcW w:w="1450" w:type="dxa"/>
            <w:vMerge w:val="restart"/>
          </w:tcPr>
          <w:p w14:paraId="6B74C905">
            <w:pPr>
              <w:pStyle w:val="12"/>
              <w:keepNext w:val="0"/>
              <w:keepLines w:val="0"/>
              <w:suppressLineNumbers w:val="0"/>
              <w:spacing w:before="0" w:beforeAutospacing="0" w:after="0" w:afterAutospacing="0"/>
              <w:ind w:left="0" w:right="0"/>
              <w:rPr>
                <w:rFonts w:hint="default" w:ascii="Times New Roman"/>
                <w:sz w:val="22"/>
              </w:rPr>
            </w:pPr>
          </w:p>
        </w:tc>
      </w:tr>
      <w:tr w14:paraId="2EB66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274" w:type="dxa"/>
            <w:tcBorders>
              <w:top w:val="nil"/>
              <w:bottom w:val="nil"/>
            </w:tcBorders>
          </w:tcPr>
          <w:p w14:paraId="71DA8E40">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效目标设定、预算编</w:t>
            </w:r>
          </w:p>
        </w:tc>
        <w:tc>
          <w:tcPr>
            <w:tcW w:w="970" w:type="dxa"/>
            <w:vMerge w:val="continue"/>
            <w:tcBorders>
              <w:top w:val="nil"/>
            </w:tcBorders>
          </w:tcPr>
          <w:p w14:paraId="64F8C5BB">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3104485C">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10ABC759">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37156A32">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58CDA4A4">
            <w:pPr>
              <w:keepNext w:val="0"/>
              <w:keepLines w:val="0"/>
              <w:suppressLineNumbers w:val="0"/>
              <w:spacing w:before="0" w:beforeAutospacing="0" w:after="0" w:afterAutospacing="0"/>
              <w:ind w:left="0" w:right="0"/>
              <w:rPr>
                <w:rFonts w:hint="default"/>
                <w:sz w:val="2"/>
                <w:szCs w:val="2"/>
              </w:rPr>
            </w:pPr>
          </w:p>
        </w:tc>
      </w:tr>
      <w:tr w14:paraId="6DD3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274" w:type="dxa"/>
            <w:tcBorders>
              <w:top w:val="nil"/>
            </w:tcBorders>
          </w:tcPr>
          <w:p w14:paraId="457F1EEB">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制和资金分配等）</w:t>
            </w:r>
          </w:p>
        </w:tc>
        <w:tc>
          <w:tcPr>
            <w:tcW w:w="970" w:type="dxa"/>
            <w:vMerge w:val="continue"/>
            <w:tcBorders>
              <w:top w:val="nil"/>
            </w:tcBorders>
          </w:tcPr>
          <w:p w14:paraId="0A522874">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2ADA79D9">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3D0B3E5C">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0BC85FBF">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4C8181DB">
            <w:pPr>
              <w:keepNext w:val="0"/>
              <w:keepLines w:val="0"/>
              <w:suppressLineNumbers w:val="0"/>
              <w:spacing w:before="0" w:beforeAutospacing="0" w:after="0" w:afterAutospacing="0"/>
              <w:ind w:left="0" w:right="0"/>
              <w:rPr>
                <w:rFonts w:hint="default"/>
                <w:sz w:val="2"/>
                <w:szCs w:val="2"/>
              </w:rPr>
            </w:pPr>
          </w:p>
        </w:tc>
      </w:tr>
      <w:tr w14:paraId="42AF0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tcPr>
          <w:p w14:paraId="52EE0B6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资金管理存在的问题</w:t>
            </w:r>
          </w:p>
        </w:tc>
        <w:tc>
          <w:tcPr>
            <w:tcW w:w="970" w:type="dxa"/>
          </w:tcPr>
          <w:p w14:paraId="248A7DEC">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1</w:t>
            </w:r>
          </w:p>
        </w:tc>
        <w:tc>
          <w:tcPr>
            <w:tcW w:w="2047" w:type="dxa"/>
          </w:tcPr>
          <w:p w14:paraId="3BD7E703">
            <w:pPr>
              <w:pStyle w:val="12"/>
              <w:keepNext w:val="0"/>
              <w:keepLines w:val="0"/>
              <w:suppressLineNumbers w:val="0"/>
              <w:spacing w:before="0" w:beforeAutospacing="0" w:after="0" w:afterAutospacing="0"/>
              <w:ind w:left="0" w:right="0"/>
              <w:rPr>
                <w:rFonts w:hint="default" w:ascii="Times New Roman"/>
                <w:sz w:val="22"/>
              </w:rPr>
            </w:pPr>
          </w:p>
        </w:tc>
        <w:tc>
          <w:tcPr>
            <w:tcW w:w="3355" w:type="dxa"/>
          </w:tcPr>
          <w:p w14:paraId="74719E50">
            <w:pPr>
              <w:pStyle w:val="12"/>
              <w:keepNext w:val="0"/>
              <w:keepLines w:val="0"/>
              <w:suppressLineNumbers w:val="0"/>
              <w:spacing w:before="0" w:beforeAutospacing="0" w:after="0" w:afterAutospacing="0"/>
              <w:ind w:left="0" w:right="0"/>
              <w:rPr>
                <w:rFonts w:hint="default" w:ascii="Times New Roman"/>
                <w:sz w:val="22"/>
              </w:rPr>
            </w:pPr>
          </w:p>
        </w:tc>
        <w:tc>
          <w:tcPr>
            <w:tcW w:w="3455" w:type="dxa"/>
          </w:tcPr>
          <w:p w14:paraId="000FC301">
            <w:pPr>
              <w:pStyle w:val="12"/>
              <w:keepNext w:val="0"/>
              <w:keepLines w:val="0"/>
              <w:suppressLineNumbers w:val="0"/>
              <w:spacing w:before="0" w:beforeAutospacing="0" w:after="0" w:afterAutospacing="0"/>
              <w:ind w:left="0" w:right="0"/>
              <w:rPr>
                <w:rFonts w:hint="default" w:ascii="Times New Roman"/>
                <w:sz w:val="22"/>
              </w:rPr>
            </w:pPr>
          </w:p>
        </w:tc>
        <w:tc>
          <w:tcPr>
            <w:tcW w:w="1450" w:type="dxa"/>
          </w:tcPr>
          <w:p w14:paraId="11756789">
            <w:pPr>
              <w:pStyle w:val="12"/>
              <w:keepNext w:val="0"/>
              <w:keepLines w:val="0"/>
              <w:suppressLineNumbers w:val="0"/>
              <w:spacing w:before="0" w:beforeAutospacing="0" w:after="0" w:afterAutospacing="0"/>
              <w:ind w:left="0" w:right="0"/>
              <w:rPr>
                <w:rFonts w:hint="default" w:ascii="Times New Roman"/>
                <w:sz w:val="22"/>
              </w:rPr>
            </w:pPr>
          </w:p>
        </w:tc>
      </w:tr>
      <w:tr w14:paraId="4C3BD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14:paraId="044876F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（包括资金到位情况</w:t>
            </w:r>
          </w:p>
        </w:tc>
        <w:tc>
          <w:tcPr>
            <w:tcW w:w="970" w:type="dxa"/>
            <w:vMerge w:val="restart"/>
          </w:tcPr>
          <w:p w14:paraId="7AD96970">
            <w:pPr>
              <w:pStyle w:val="12"/>
              <w:keepNext w:val="0"/>
              <w:keepLines w:val="0"/>
              <w:suppressLineNumbers w:val="0"/>
              <w:spacing w:before="82" w:beforeAutospacing="0" w:after="0" w:afterAutospacing="0"/>
              <w:ind w:left="34" w:right="0"/>
              <w:jc w:val="center"/>
              <w:rPr>
                <w:rFonts w:hint="default"/>
                <w:b/>
                <w:sz w:val="22"/>
              </w:rPr>
            </w:pPr>
            <w:r>
              <w:rPr>
                <w:rFonts w:hint="default"/>
                <w:b/>
                <w:w w:val="99"/>
                <w:sz w:val="22"/>
              </w:rPr>
              <w:t>2</w:t>
            </w:r>
          </w:p>
        </w:tc>
        <w:tc>
          <w:tcPr>
            <w:tcW w:w="2047" w:type="dxa"/>
            <w:vMerge w:val="restart"/>
          </w:tcPr>
          <w:p w14:paraId="579AB1B4">
            <w:pPr>
              <w:pStyle w:val="12"/>
              <w:keepNext w:val="0"/>
              <w:keepLines w:val="0"/>
              <w:suppressLineNumbers w:val="0"/>
              <w:spacing w:before="0" w:beforeAutospacing="0" w:after="0" w:afterAutospacing="0"/>
              <w:ind w:left="0" w:right="0"/>
              <w:rPr>
                <w:rFonts w:hint="default" w:ascii="Times New Roman"/>
                <w:sz w:val="22"/>
              </w:rPr>
            </w:pPr>
          </w:p>
        </w:tc>
        <w:tc>
          <w:tcPr>
            <w:tcW w:w="3355" w:type="dxa"/>
            <w:vMerge w:val="restart"/>
          </w:tcPr>
          <w:p w14:paraId="4BBED95A">
            <w:pPr>
              <w:pStyle w:val="12"/>
              <w:keepNext w:val="0"/>
              <w:keepLines w:val="0"/>
              <w:suppressLineNumbers w:val="0"/>
              <w:spacing w:before="0" w:beforeAutospacing="0" w:after="0" w:afterAutospacing="0"/>
              <w:ind w:left="0" w:right="0"/>
              <w:rPr>
                <w:rFonts w:hint="default" w:ascii="Times New Roman"/>
                <w:sz w:val="22"/>
              </w:rPr>
            </w:pPr>
          </w:p>
        </w:tc>
        <w:tc>
          <w:tcPr>
            <w:tcW w:w="3455" w:type="dxa"/>
            <w:vMerge w:val="restart"/>
          </w:tcPr>
          <w:p w14:paraId="3724EFA5">
            <w:pPr>
              <w:pStyle w:val="12"/>
              <w:keepNext w:val="0"/>
              <w:keepLines w:val="0"/>
              <w:suppressLineNumbers w:val="0"/>
              <w:spacing w:before="0" w:beforeAutospacing="0" w:after="0" w:afterAutospacing="0"/>
              <w:ind w:left="0" w:right="0"/>
              <w:rPr>
                <w:rFonts w:hint="default" w:ascii="Times New Roman"/>
                <w:sz w:val="22"/>
              </w:rPr>
            </w:pPr>
          </w:p>
        </w:tc>
        <w:tc>
          <w:tcPr>
            <w:tcW w:w="1450" w:type="dxa"/>
            <w:vMerge w:val="restart"/>
          </w:tcPr>
          <w:p w14:paraId="43D7B8B8">
            <w:pPr>
              <w:pStyle w:val="12"/>
              <w:keepNext w:val="0"/>
              <w:keepLines w:val="0"/>
              <w:suppressLineNumbers w:val="0"/>
              <w:spacing w:before="0" w:beforeAutospacing="0" w:after="0" w:afterAutospacing="0"/>
              <w:ind w:left="0" w:right="0"/>
              <w:rPr>
                <w:rFonts w:hint="default" w:ascii="Times New Roman"/>
                <w:sz w:val="22"/>
              </w:rPr>
            </w:pPr>
          </w:p>
        </w:tc>
      </w:tr>
      <w:tr w14:paraId="0E634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274" w:type="dxa"/>
            <w:tcBorders>
              <w:top w:val="nil"/>
              <w:bottom w:val="nil"/>
            </w:tcBorders>
          </w:tcPr>
          <w:p w14:paraId="057AA2B9">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、预算执行情况和资</w:t>
            </w:r>
          </w:p>
        </w:tc>
        <w:tc>
          <w:tcPr>
            <w:tcW w:w="970" w:type="dxa"/>
            <w:vMerge w:val="continue"/>
            <w:tcBorders>
              <w:top w:val="nil"/>
            </w:tcBorders>
          </w:tcPr>
          <w:p w14:paraId="2ECAC919">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57797EA3">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0186344D">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3F768EDD">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34BAD909">
            <w:pPr>
              <w:keepNext w:val="0"/>
              <w:keepLines w:val="0"/>
              <w:suppressLineNumbers w:val="0"/>
              <w:spacing w:before="0" w:beforeAutospacing="0" w:after="0" w:afterAutospacing="0"/>
              <w:ind w:left="0" w:right="0"/>
              <w:rPr>
                <w:rFonts w:hint="default"/>
                <w:sz w:val="2"/>
                <w:szCs w:val="2"/>
              </w:rPr>
            </w:pPr>
          </w:p>
        </w:tc>
      </w:tr>
      <w:tr w14:paraId="4D8ED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2274" w:type="dxa"/>
            <w:tcBorders>
              <w:top w:val="nil"/>
            </w:tcBorders>
          </w:tcPr>
          <w:p w14:paraId="0A0FF93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金使用合规性等）</w:t>
            </w:r>
          </w:p>
        </w:tc>
        <w:tc>
          <w:tcPr>
            <w:tcW w:w="970" w:type="dxa"/>
            <w:vMerge w:val="continue"/>
            <w:tcBorders>
              <w:top w:val="nil"/>
            </w:tcBorders>
          </w:tcPr>
          <w:p w14:paraId="4AEB66CB">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76BA39C4">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2FBBC14A">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4FB06C64">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250F500C">
            <w:pPr>
              <w:keepNext w:val="0"/>
              <w:keepLines w:val="0"/>
              <w:suppressLineNumbers w:val="0"/>
              <w:spacing w:before="0" w:beforeAutospacing="0" w:after="0" w:afterAutospacing="0"/>
              <w:ind w:left="0" w:right="0"/>
              <w:rPr>
                <w:rFonts w:hint="default"/>
                <w:sz w:val="2"/>
                <w:szCs w:val="2"/>
              </w:rPr>
            </w:pPr>
          </w:p>
        </w:tc>
      </w:tr>
      <w:tr w14:paraId="29924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tcPr>
          <w:p w14:paraId="7097E3AA">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项目管理存在的问题</w:t>
            </w:r>
          </w:p>
        </w:tc>
        <w:tc>
          <w:tcPr>
            <w:tcW w:w="970" w:type="dxa"/>
          </w:tcPr>
          <w:p w14:paraId="6C7D415E">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1</w:t>
            </w:r>
          </w:p>
        </w:tc>
        <w:tc>
          <w:tcPr>
            <w:tcW w:w="2047" w:type="dxa"/>
          </w:tcPr>
          <w:p w14:paraId="0B7DEBFB">
            <w:pPr>
              <w:pStyle w:val="12"/>
              <w:keepNext w:val="0"/>
              <w:keepLines w:val="0"/>
              <w:suppressLineNumbers w:val="0"/>
              <w:spacing w:before="0" w:beforeAutospacing="0" w:after="0" w:afterAutospacing="0"/>
              <w:ind w:left="0" w:right="0"/>
              <w:rPr>
                <w:rFonts w:hint="default" w:ascii="Times New Roman"/>
                <w:sz w:val="22"/>
              </w:rPr>
            </w:pPr>
          </w:p>
        </w:tc>
        <w:tc>
          <w:tcPr>
            <w:tcW w:w="3355" w:type="dxa"/>
          </w:tcPr>
          <w:p w14:paraId="4AEE52C2">
            <w:pPr>
              <w:pStyle w:val="12"/>
              <w:keepNext w:val="0"/>
              <w:keepLines w:val="0"/>
              <w:suppressLineNumbers w:val="0"/>
              <w:spacing w:before="0" w:beforeAutospacing="0" w:after="0" w:afterAutospacing="0"/>
              <w:ind w:left="0" w:right="0"/>
              <w:rPr>
                <w:rFonts w:hint="default" w:ascii="Times New Roman"/>
                <w:sz w:val="22"/>
              </w:rPr>
            </w:pPr>
          </w:p>
        </w:tc>
        <w:tc>
          <w:tcPr>
            <w:tcW w:w="3455" w:type="dxa"/>
          </w:tcPr>
          <w:p w14:paraId="0B6C6704">
            <w:pPr>
              <w:pStyle w:val="12"/>
              <w:keepNext w:val="0"/>
              <w:keepLines w:val="0"/>
              <w:suppressLineNumbers w:val="0"/>
              <w:spacing w:before="0" w:beforeAutospacing="0" w:after="0" w:afterAutospacing="0"/>
              <w:ind w:left="0" w:right="0"/>
              <w:rPr>
                <w:rFonts w:hint="default" w:ascii="Times New Roman"/>
                <w:sz w:val="22"/>
              </w:rPr>
            </w:pPr>
          </w:p>
        </w:tc>
        <w:tc>
          <w:tcPr>
            <w:tcW w:w="1450" w:type="dxa"/>
          </w:tcPr>
          <w:p w14:paraId="3DC2D43B">
            <w:pPr>
              <w:pStyle w:val="12"/>
              <w:keepNext w:val="0"/>
              <w:keepLines w:val="0"/>
              <w:suppressLineNumbers w:val="0"/>
              <w:spacing w:before="0" w:beforeAutospacing="0" w:after="0" w:afterAutospacing="0"/>
              <w:ind w:left="0" w:right="0"/>
              <w:rPr>
                <w:rFonts w:hint="default" w:ascii="Times New Roman"/>
                <w:sz w:val="22"/>
              </w:rPr>
            </w:pPr>
          </w:p>
        </w:tc>
      </w:tr>
      <w:tr w14:paraId="4248C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14:paraId="7FF646C1">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（包括项目过程管控</w:t>
            </w:r>
          </w:p>
        </w:tc>
        <w:tc>
          <w:tcPr>
            <w:tcW w:w="970" w:type="dxa"/>
            <w:vMerge w:val="restart"/>
          </w:tcPr>
          <w:p w14:paraId="130C2DBD">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2</w:t>
            </w:r>
          </w:p>
        </w:tc>
        <w:tc>
          <w:tcPr>
            <w:tcW w:w="2047" w:type="dxa"/>
            <w:vMerge w:val="restart"/>
          </w:tcPr>
          <w:p w14:paraId="064713B6">
            <w:pPr>
              <w:pStyle w:val="12"/>
              <w:keepNext w:val="0"/>
              <w:keepLines w:val="0"/>
              <w:suppressLineNumbers w:val="0"/>
              <w:spacing w:before="0" w:beforeAutospacing="0" w:after="0" w:afterAutospacing="0"/>
              <w:ind w:left="0" w:right="0"/>
              <w:rPr>
                <w:rFonts w:hint="default" w:ascii="Times New Roman"/>
                <w:sz w:val="22"/>
              </w:rPr>
            </w:pPr>
          </w:p>
        </w:tc>
        <w:tc>
          <w:tcPr>
            <w:tcW w:w="3355" w:type="dxa"/>
            <w:vMerge w:val="restart"/>
          </w:tcPr>
          <w:p w14:paraId="164A1930">
            <w:pPr>
              <w:pStyle w:val="12"/>
              <w:keepNext w:val="0"/>
              <w:keepLines w:val="0"/>
              <w:suppressLineNumbers w:val="0"/>
              <w:spacing w:before="0" w:beforeAutospacing="0" w:after="0" w:afterAutospacing="0"/>
              <w:ind w:left="0" w:right="0"/>
              <w:rPr>
                <w:rFonts w:hint="default" w:ascii="Times New Roman"/>
                <w:sz w:val="22"/>
              </w:rPr>
            </w:pPr>
          </w:p>
        </w:tc>
        <w:tc>
          <w:tcPr>
            <w:tcW w:w="3455" w:type="dxa"/>
            <w:vMerge w:val="restart"/>
          </w:tcPr>
          <w:p w14:paraId="770A9FAC">
            <w:pPr>
              <w:pStyle w:val="12"/>
              <w:keepNext w:val="0"/>
              <w:keepLines w:val="0"/>
              <w:suppressLineNumbers w:val="0"/>
              <w:spacing w:before="0" w:beforeAutospacing="0" w:after="0" w:afterAutospacing="0"/>
              <w:ind w:left="0" w:right="0"/>
              <w:rPr>
                <w:rFonts w:hint="default" w:ascii="Times New Roman"/>
                <w:sz w:val="22"/>
              </w:rPr>
            </w:pPr>
          </w:p>
        </w:tc>
        <w:tc>
          <w:tcPr>
            <w:tcW w:w="1450" w:type="dxa"/>
            <w:vMerge w:val="restart"/>
          </w:tcPr>
          <w:p w14:paraId="5C0517BA">
            <w:pPr>
              <w:pStyle w:val="12"/>
              <w:keepNext w:val="0"/>
              <w:keepLines w:val="0"/>
              <w:suppressLineNumbers w:val="0"/>
              <w:spacing w:before="0" w:beforeAutospacing="0" w:after="0" w:afterAutospacing="0"/>
              <w:ind w:left="0" w:right="0"/>
              <w:rPr>
                <w:rFonts w:hint="default" w:ascii="Times New Roman"/>
                <w:sz w:val="22"/>
              </w:rPr>
            </w:pPr>
          </w:p>
        </w:tc>
      </w:tr>
      <w:tr w14:paraId="3944A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 w:hRule="atLeast"/>
        </w:trPr>
        <w:tc>
          <w:tcPr>
            <w:tcW w:w="2274" w:type="dxa"/>
            <w:tcBorders>
              <w:top w:val="nil"/>
              <w:bottom w:val="nil"/>
            </w:tcBorders>
          </w:tcPr>
          <w:p w14:paraId="596D11E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、监督问效、制度建</w:t>
            </w:r>
          </w:p>
        </w:tc>
        <w:tc>
          <w:tcPr>
            <w:tcW w:w="970" w:type="dxa"/>
            <w:vMerge w:val="continue"/>
            <w:tcBorders>
              <w:top w:val="nil"/>
            </w:tcBorders>
          </w:tcPr>
          <w:p w14:paraId="5DAD3DE7">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4E38D16F">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6270427E">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5EF46FED">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4A193405">
            <w:pPr>
              <w:keepNext w:val="0"/>
              <w:keepLines w:val="0"/>
              <w:suppressLineNumbers w:val="0"/>
              <w:spacing w:before="0" w:beforeAutospacing="0" w:after="0" w:afterAutospacing="0"/>
              <w:ind w:left="0" w:right="0"/>
              <w:rPr>
                <w:rFonts w:hint="default"/>
                <w:sz w:val="2"/>
                <w:szCs w:val="2"/>
              </w:rPr>
            </w:pPr>
          </w:p>
        </w:tc>
      </w:tr>
      <w:tr w14:paraId="4BCAF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2274" w:type="dxa"/>
            <w:tcBorders>
              <w:top w:val="nil"/>
            </w:tcBorders>
          </w:tcPr>
          <w:p w14:paraId="1CD6D056">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设及执行情况等）</w:t>
            </w:r>
          </w:p>
        </w:tc>
        <w:tc>
          <w:tcPr>
            <w:tcW w:w="970" w:type="dxa"/>
            <w:vMerge w:val="continue"/>
            <w:tcBorders>
              <w:top w:val="nil"/>
            </w:tcBorders>
          </w:tcPr>
          <w:p w14:paraId="3EB82D72">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2118E37A">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5E05861E">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12BFB4E6">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2E0F5C94">
            <w:pPr>
              <w:keepNext w:val="0"/>
              <w:keepLines w:val="0"/>
              <w:suppressLineNumbers w:val="0"/>
              <w:spacing w:before="0" w:beforeAutospacing="0" w:after="0" w:afterAutospacing="0"/>
              <w:ind w:left="0" w:right="0"/>
              <w:rPr>
                <w:rFonts w:hint="default"/>
                <w:sz w:val="2"/>
                <w:szCs w:val="2"/>
              </w:rPr>
            </w:pPr>
          </w:p>
        </w:tc>
      </w:tr>
      <w:tr w14:paraId="34CF9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274" w:type="dxa"/>
            <w:tcBorders>
              <w:bottom w:val="nil"/>
            </w:tcBorders>
          </w:tcPr>
          <w:p w14:paraId="21FE7CFE">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项目产出存在的问题</w:t>
            </w:r>
          </w:p>
        </w:tc>
        <w:tc>
          <w:tcPr>
            <w:tcW w:w="970" w:type="dxa"/>
          </w:tcPr>
          <w:p w14:paraId="3618F03D">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1</w:t>
            </w:r>
          </w:p>
        </w:tc>
        <w:tc>
          <w:tcPr>
            <w:tcW w:w="2047" w:type="dxa"/>
          </w:tcPr>
          <w:p w14:paraId="300C796C">
            <w:pPr>
              <w:pStyle w:val="12"/>
              <w:keepNext w:val="0"/>
              <w:keepLines w:val="0"/>
              <w:suppressLineNumbers w:val="0"/>
              <w:spacing w:before="0" w:beforeAutospacing="0" w:after="0" w:afterAutospacing="0"/>
              <w:ind w:left="0" w:right="0"/>
              <w:rPr>
                <w:rFonts w:hint="default" w:ascii="Times New Roman"/>
                <w:sz w:val="22"/>
              </w:rPr>
            </w:pPr>
          </w:p>
        </w:tc>
        <w:tc>
          <w:tcPr>
            <w:tcW w:w="3355" w:type="dxa"/>
          </w:tcPr>
          <w:p w14:paraId="5C343C1F">
            <w:pPr>
              <w:pStyle w:val="12"/>
              <w:keepNext w:val="0"/>
              <w:keepLines w:val="0"/>
              <w:suppressLineNumbers w:val="0"/>
              <w:spacing w:before="0" w:beforeAutospacing="0" w:after="0" w:afterAutospacing="0"/>
              <w:ind w:left="0" w:right="0"/>
              <w:rPr>
                <w:rFonts w:hint="default" w:ascii="Times New Roman"/>
                <w:sz w:val="22"/>
              </w:rPr>
            </w:pPr>
          </w:p>
        </w:tc>
        <w:tc>
          <w:tcPr>
            <w:tcW w:w="3455" w:type="dxa"/>
          </w:tcPr>
          <w:p w14:paraId="755517AC">
            <w:pPr>
              <w:pStyle w:val="12"/>
              <w:keepNext w:val="0"/>
              <w:keepLines w:val="0"/>
              <w:suppressLineNumbers w:val="0"/>
              <w:spacing w:before="0" w:beforeAutospacing="0" w:after="0" w:afterAutospacing="0"/>
              <w:ind w:left="0" w:right="0"/>
              <w:rPr>
                <w:rFonts w:hint="default" w:ascii="Times New Roman"/>
                <w:sz w:val="22"/>
              </w:rPr>
            </w:pPr>
          </w:p>
        </w:tc>
        <w:tc>
          <w:tcPr>
            <w:tcW w:w="1450" w:type="dxa"/>
          </w:tcPr>
          <w:p w14:paraId="28857FA2">
            <w:pPr>
              <w:pStyle w:val="12"/>
              <w:keepNext w:val="0"/>
              <w:keepLines w:val="0"/>
              <w:suppressLineNumbers w:val="0"/>
              <w:spacing w:before="0" w:beforeAutospacing="0" w:after="0" w:afterAutospacing="0"/>
              <w:ind w:left="0" w:right="0"/>
              <w:rPr>
                <w:rFonts w:hint="default" w:ascii="Times New Roman"/>
                <w:sz w:val="22"/>
              </w:rPr>
            </w:pPr>
          </w:p>
        </w:tc>
      </w:tr>
      <w:tr w14:paraId="2A4B1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14:paraId="6F624411">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（包括产出数量、产</w:t>
            </w:r>
          </w:p>
        </w:tc>
        <w:tc>
          <w:tcPr>
            <w:tcW w:w="970" w:type="dxa"/>
            <w:vMerge w:val="restart"/>
          </w:tcPr>
          <w:p w14:paraId="33D964E3">
            <w:pPr>
              <w:pStyle w:val="12"/>
              <w:keepNext w:val="0"/>
              <w:keepLines w:val="0"/>
              <w:suppressLineNumbers w:val="0"/>
              <w:spacing w:before="82" w:beforeAutospacing="0" w:after="0" w:afterAutospacing="0"/>
              <w:ind w:left="34" w:right="0"/>
              <w:jc w:val="center"/>
              <w:rPr>
                <w:rFonts w:hint="default"/>
                <w:b/>
                <w:sz w:val="22"/>
              </w:rPr>
            </w:pPr>
            <w:r>
              <w:rPr>
                <w:rFonts w:hint="default"/>
                <w:b/>
                <w:w w:val="99"/>
                <w:sz w:val="22"/>
              </w:rPr>
              <w:t>2</w:t>
            </w:r>
          </w:p>
        </w:tc>
        <w:tc>
          <w:tcPr>
            <w:tcW w:w="2047" w:type="dxa"/>
            <w:vMerge w:val="restart"/>
          </w:tcPr>
          <w:p w14:paraId="797ECEFF">
            <w:pPr>
              <w:pStyle w:val="12"/>
              <w:keepNext w:val="0"/>
              <w:keepLines w:val="0"/>
              <w:suppressLineNumbers w:val="0"/>
              <w:spacing w:before="0" w:beforeAutospacing="0" w:after="0" w:afterAutospacing="0"/>
              <w:ind w:left="0" w:right="0"/>
              <w:rPr>
                <w:rFonts w:hint="default" w:ascii="Times New Roman"/>
                <w:sz w:val="22"/>
              </w:rPr>
            </w:pPr>
          </w:p>
        </w:tc>
        <w:tc>
          <w:tcPr>
            <w:tcW w:w="3355" w:type="dxa"/>
            <w:vMerge w:val="restart"/>
          </w:tcPr>
          <w:p w14:paraId="5832E492">
            <w:pPr>
              <w:pStyle w:val="12"/>
              <w:keepNext w:val="0"/>
              <w:keepLines w:val="0"/>
              <w:suppressLineNumbers w:val="0"/>
              <w:spacing w:before="0" w:beforeAutospacing="0" w:after="0" w:afterAutospacing="0"/>
              <w:ind w:left="0" w:right="0"/>
              <w:rPr>
                <w:rFonts w:hint="default" w:ascii="Times New Roman"/>
                <w:sz w:val="22"/>
              </w:rPr>
            </w:pPr>
          </w:p>
        </w:tc>
        <w:tc>
          <w:tcPr>
            <w:tcW w:w="3455" w:type="dxa"/>
            <w:vMerge w:val="restart"/>
          </w:tcPr>
          <w:p w14:paraId="2E169E87">
            <w:pPr>
              <w:pStyle w:val="12"/>
              <w:keepNext w:val="0"/>
              <w:keepLines w:val="0"/>
              <w:suppressLineNumbers w:val="0"/>
              <w:spacing w:before="0" w:beforeAutospacing="0" w:after="0" w:afterAutospacing="0"/>
              <w:ind w:left="0" w:right="0"/>
              <w:rPr>
                <w:rFonts w:hint="default" w:ascii="Times New Roman"/>
                <w:sz w:val="22"/>
              </w:rPr>
            </w:pPr>
          </w:p>
        </w:tc>
        <w:tc>
          <w:tcPr>
            <w:tcW w:w="1450" w:type="dxa"/>
            <w:vMerge w:val="restart"/>
          </w:tcPr>
          <w:p w14:paraId="02CA8746">
            <w:pPr>
              <w:pStyle w:val="12"/>
              <w:keepNext w:val="0"/>
              <w:keepLines w:val="0"/>
              <w:suppressLineNumbers w:val="0"/>
              <w:spacing w:before="0" w:beforeAutospacing="0" w:after="0" w:afterAutospacing="0"/>
              <w:ind w:left="0" w:right="0"/>
              <w:rPr>
                <w:rFonts w:hint="default" w:ascii="Times New Roman"/>
                <w:sz w:val="22"/>
              </w:rPr>
            </w:pPr>
          </w:p>
        </w:tc>
      </w:tr>
      <w:tr w14:paraId="53689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274" w:type="dxa"/>
            <w:tcBorders>
              <w:top w:val="nil"/>
              <w:bottom w:val="nil"/>
            </w:tcBorders>
          </w:tcPr>
          <w:p w14:paraId="4C1FB3E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出质量、产出时效、</w:t>
            </w:r>
          </w:p>
        </w:tc>
        <w:tc>
          <w:tcPr>
            <w:tcW w:w="970" w:type="dxa"/>
            <w:vMerge w:val="continue"/>
            <w:tcBorders>
              <w:top w:val="nil"/>
            </w:tcBorders>
          </w:tcPr>
          <w:p w14:paraId="1E547D32">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39F0CAF7">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4902491C">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15479683">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57789220">
            <w:pPr>
              <w:keepNext w:val="0"/>
              <w:keepLines w:val="0"/>
              <w:suppressLineNumbers w:val="0"/>
              <w:spacing w:before="0" w:beforeAutospacing="0" w:after="0" w:afterAutospacing="0"/>
              <w:ind w:left="0" w:right="0"/>
              <w:rPr>
                <w:rFonts w:hint="default"/>
                <w:sz w:val="2"/>
                <w:szCs w:val="2"/>
              </w:rPr>
            </w:pPr>
          </w:p>
        </w:tc>
      </w:tr>
      <w:tr w14:paraId="4BE50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274" w:type="dxa"/>
            <w:tcBorders>
              <w:top w:val="nil"/>
            </w:tcBorders>
          </w:tcPr>
          <w:p w14:paraId="4E25305D">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sz w:val="20"/>
                <w:szCs w:val="20"/>
              </w:rPr>
            </w:pPr>
            <w:r>
              <w:rPr>
                <w:rFonts w:hint="default"/>
                <w:sz w:val="20"/>
                <w:szCs w:val="20"/>
              </w:rPr>
              <w:t>产出成本等）</w:t>
            </w:r>
          </w:p>
        </w:tc>
        <w:tc>
          <w:tcPr>
            <w:tcW w:w="970" w:type="dxa"/>
            <w:vMerge w:val="continue"/>
            <w:tcBorders>
              <w:top w:val="nil"/>
            </w:tcBorders>
          </w:tcPr>
          <w:p w14:paraId="5647F83E">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0947FFAE">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275FE707">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37A3FA9C">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57A79E52">
            <w:pPr>
              <w:keepNext w:val="0"/>
              <w:keepLines w:val="0"/>
              <w:suppressLineNumbers w:val="0"/>
              <w:spacing w:before="0" w:beforeAutospacing="0" w:after="0" w:afterAutospacing="0"/>
              <w:ind w:left="0" w:right="0"/>
              <w:rPr>
                <w:rFonts w:hint="default"/>
                <w:sz w:val="2"/>
                <w:szCs w:val="2"/>
              </w:rPr>
            </w:pPr>
          </w:p>
        </w:tc>
      </w:tr>
      <w:tr w14:paraId="1A90F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274" w:type="dxa"/>
            <w:tcBorders>
              <w:bottom w:val="nil"/>
            </w:tcBorders>
          </w:tcPr>
          <w:p w14:paraId="3FC9E981">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项目效益存在的问题</w:t>
            </w:r>
          </w:p>
        </w:tc>
        <w:tc>
          <w:tcPr>
            <w:tcW w:w="970" w:type="dxa"/>
          </w:tcPr>
          <w:p w14:paraId="27C754B4">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1</w:t>
            </w:r>
          </w:p>
        </w:tc>
        <w:tc>
          <w:tcPr>
            <w:tcW w:w="2047" w:type="dxa"/>
          </w:tcPr>
          <w:p w14:paraId="5EA0C046">
            <w:pPr>
              <w:pStyle w:val="12"/>
              <w:keepNext w:val="0"/>
              <w:keepLines w:val="0"/>
              <w:suppressLineNumbers w:val="0"/>
              <w:spacing w:before="0" w:beforeAutospacing="0" w:after="0" w:afterAutospacing="0"/>
              <w:ind w:left="0" w:right="0"/>
              <w:rPr>
                <w:rFonts w:hint="default" w:ascii="Times New Roman"/>
                <w:sz w:val="22"/>
              </w:rPr>
            </w:pPr>
          </w:p>
        </w:tc>
        <w:tc>
          <w:tcPr>
            <w:tcW w:w="3355" w:type="dxa"/>
          </w:tcPr>
          <w:p w14:paraId="71E09DDD">
            <w:pPr>
              <w:pStyle w:val="12"/>
              <w:keepNext w:val="0"/>
              <w:keepLines w:val="0"/>
              <w:suppressLineNumbers w:val="0"/>
              <w:spacing w:before="0" w:beforeAutospacing="0" w:after="0" w:afterAutospacing="0"/>
              <w:ind w:left="0" w:right="0"/>
              <w:rPr>
                <w:rFonts w:hint="default" w:ascii="Times New Roman"/>
                <w:sz w:val="22"/>
              </w:rPr>
            </w:pPr>
          </w:p>
        </w:tc>
        <w:tc>
          <w:tcPr>
            <w:tcW w:w="3455" w:type="dxa"/>
          </w:tcPr>
          <w:p w14:paraId="327A45AB">
            <w:pPr>
              <w:pStyle w:val="12"/>
              <w:keepNext w:val="0"/>
              <w:keepLines w:val="0"/>
              <w:suppressLineNumbers w:val="0"/>
              <w:spacing w:before="0" w:beforeAutospacing="0" w:after="0" w:afterAutospacing="0"/>
              <w:ind w:left="0" w:right="0"/>
              <w:rPr>
                <w:rFonts w:hint="default" w:ascii="Times New Roman"/>
                <w:sz w:val="22"/>
              </w:rPr>
            </w:pPr>
          </w:p>
        </w:tc>
        <w:tc>
          <w:tcPr>
            <w:tcW w:w="1450" w:type="dxa"/>
          </w:tcPr>
          <w:p w14:paraId="1C8CD15E">
            <w:pPr>
              <w:pStyle w:val="12"/>
              <w:keepNext w:val="0"/>
              <w:keepLines w:val="0"/>
              <w:suppressLineNumbers w:val="0"/>
              <w:spacing w:before="0" w:beforeAutospacing="0" w:after="0" w:afterAutospacing="0"/>
              <w:ind w:left="0" w:right="0"/>
              <w:rPr>
                <w:rFonts w:hint="default" w:ascii="Times New Roman"/>
                <w:sz w:val="22"/>
              </w:rPr>
            </w:pPr>
          </w:p>
        </w:tc>
      </w:tr>
      <w:tr w14:paraId="4C826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2274" w:type="dxa"/>
            <w:tcBorders>
              <w:top w:val="nil"/>
              <w:bottom w:val="nil"/>
            </w:tcBorders>
          </w:tcPr>
          <w:p w14:paraId="5D132CA3">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（包括经济效益、社</w:t>
            </w:r>
          </w:p>
        </w:tc>
        <w:tc>
          <w:tcPr>
            <w:tcW w:w="970" w:type="dxa"/>
            <w:vMerge w:val="restart"/>
          </w:tcPr>
          <w:p w14:paraId="4FD25021">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2</w:t>
            </w:r>
          </w:p>
        </w:tc>
        <w:tc>
          <w:tcPr>
            <w:tcW w:w="2047" w:type="dxa"/>
            <w:vMerge w:val="restart"/>
          </w:tcPr>
          <w:p w14:paraId="7EB8E28D">
            <w:pPr>
              <w:pStyle w:val="12"/>
              <w:keepNext w:val="0"/>
              <w:keepLines w:val="0"/>
              <w:suppressLineNumbers w:val="0"/>
              <w:spacing w:before="0" w:beforeAutospacing="0" w:after="0" w:afterAutospacing="0"/>
              <w:ind w:left="0" w:right="0"/>
              <w:rPr>
                <w:rFonts w:hint="default" w:ascii="Times New Roman"/>
                <w:sz w:val="22"/>
              </w:rPr>
            </w:pPr>
          </w:p>
        </w:tc>
        <w:tc>
          <w:tcPr>
            <w:tcW w:w="3355" w:type="dxa"/>
            <w:vMerge w:val="restart"/>
          </w:tcPr>
          <w:p w14:paraId="0C5EB966">
            <w:pPr>
              <w:pStyle w:val="12"/>
              <w:keepNext w:val="0"/>
              <w:keepLines w:val="0"/>
              <w:suppressLineNumbers w:val="0"/>
              <w:spacing w:before="0" w:beforeAutospacing="0" w:after="0" w:afterAutospacing="0"/>
              <w:ind w:left="0" w:right="0"/>
              <w:rPr>
                <w:rFonts w:hint="default" w:ascii="Times New Roman"/>
                <w:sz w:val="22"/>
              </w:rPr>
            </w:pPr>
          </w:p>
        </w:tc>
        <w:tc>
          <w:tcPr>
            <w:tcW w:w="3455" w:type="dxa"/>
            <w:vMerge w:val="restart"/>
          </w:tcPr>
          <w:p w14:paraId="00142FC7">
            <w:pPr>
              <w:pStyle w:val="12"/>
              <w:keepNext w:val="0"/>
              <w:keepLines w:val="0"/>
              <w:suppressLineNumbers w:val="0"/>
              <w:spacing w:before="0" w:beforeAutospacing="0" w:after="0" w:afterAutospacing="0"/>
              <w:ind w:left="0" w:right="0"/>
              <w:rPr>
                <w:rFonts w:hint="default" w:ascii="Times New Roman"/>
                <w:sz w:val="22"/>
              </w:rPr>
            </w:pPr>
          </w:p>
        </w:tc>
        <w:tc>
          <w:tcPr>
            <w:tcW w:w="1450" w:type="dxa"/>
            <w:vMerge w:val="restart"/>
          </w:tcPr>
          <w:p w14:paraId="27DD31F9">
            <w:pPr>
              <w:pStyle w:val="12"/>
              <w:keepNext w:val="0"/>
              <w:keepLines w:val="0"/>
              <w:suppressLineNumbers w:val="0"/>
              <w:spacing w:before="0" w:beforeAutospacing="0" w:after="0" w:afterAutospacing="0"/>
              <w:ind w:left="0" w:right="0"/>
              <w:rPr>
                <w:rFonts w:hint="default" w:ascii="Times New Roman"/>
                <w:sz w:val="22"/>
              </w:rPr>
            </w:pPr>
          </w:p>
        </w:tc>
      </w:tr>
      <w:tr w14:paraId="70D64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2274" w:type="dxa"/>
            <w:tcBorders>
              <w:top w:val="nil"/>
              <w:bottom w:val="nil"/>
            </w:tcBorders>
          </w:tcPr>
          <w:p w14:paraId="28C2252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会效益、可持续影响</w:t>
            </w:r>
          </w:p>
        </w:tc>
        <w:tc>
          <w:tcPr>
            <w:tcW w:w="970" w:type="dxa"/>
            <w:vMerge w:val="continue"/>
            <w:tcBorders>
              <w:top w:val="nil"/>
            </w:tcBorders>
          </w:tcPr>
          <w:p w14:paraId="18100374">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4ABD688C">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5FA3BFAA">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25D59B36">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12487828">
            <w:pPr>
              <w:keepNext w:val="0"/>
              <w:keepLines w:val="0"/>
              <w:suppressLineNumbers w:val="0"/>
              <w:spacing w:before="0" w:beforeAutospacing="0" w:after="0" w:afterAutospacing="0"/>
              <w:ind w:left="0" w:right="0"/>
              <w:rPr>
                <w:rFonts w:hint="default"/>
                <w:sz w:val="2"/>
                <w:szCs w:val="2"/>
              </w:rPr>
            </w:pPr>
          </w:p>
        </w:tc>
      </w:tr>
      <w:tr w14:paraId="6EC37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274" w:type="dxa"/>
            <w:tcBorders>
              <w:top w:val="nil"/>
            </w:tcBorders>
          </w:tcPr>
          <w:p w14:paraId="113B9CC6">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0"/>
                <w:szCs w:val="20"/>
              </w:rPr>
            </w:pPr>
            <w:r>
              <w:rPr>
                <w:rFonts w:hint="default"/>
                <w:sz w:val="20"/>
                <w:szCs w:val="20"/>
              </w:rPr>
              <w:t>和满意度等）</w:t>
            </w:r>
          </w:p>
        </w:tc>
        <w:tc>
          <w:tcPr>
            <w:tcW w:w="970" w:type="dxa"/>
            <w:vMerge w:val="continue"/>
            <w:tcBorders>
              <w:top w:val="nil"/>
            </w:tcBorders>
          </w:tcPr>
          <w:p w14:paraId="37C0C91F">
            <w:pPr>
              <w:keepNext w:val="0"/>
              <w:keepLines w:val="0"/>
              <w:suppressLineNumbers w:val="0"/>
              <w:spacing w:before="0" w:beforeAutospacing="0" w:after="0" w:afterAutospacing="0"/>
              <w:ind w:left="0" w:right="0"/>
              <w:rPr>
                <w:rFonts w:hint="default"/>
                <w:sz w:val="2"/>
                <w:szCs w:val="2"/>
              </w:rPr>
            </w:pPr>
          </w:p>
        </w:tc>
        <w:tc>
          <w:tcPr>
            <w:tcW w:w="2047" w:type="dxa"/>
            <w:vMerge w:val="continue"/>
            <w:tcBorders>
              <w:top w:val="nil"/>
            </w:tcBorders>
          </w:tcPr>
          <w:p w14:paraId="31284503">
            <w:pPr>
              <w:keepNext w:val="0"/>
              <w:keepLines w:val="0"/>
              <w:suppressLineNumbers w:val="0"/>
              <w:spacing w:before="0" w:beforeAutospacing="0" w:after="0" w:afterAutospacing="0"/>
              <w:ind w:left="0" w:right="0"/>
              <w:rPr>
                <w:rFonts w:hint="default"/>
                <w:sz w:val="2"/>
                <w:szCs w:val="2"/>
              </w:rPr>
            </w:pPr>
          </w:p>
        </w:tc>
        <w:tc>
          <w:tcPr>
            <w:tcW w:w="3355" w:type="dxa"/>
            <w:vMerge w:val="continue"/>
            <w:tcBorders>
              <w:top w:val="nil"/>
            </w:tcBorders>
          </w:tcPr>
          <w:p w14:paraId="6A21EAD8">
            <w:pPr>
              <w:keepNext w:val="0"/>
              <w:keepLines w:val="0"/>
              <w:suppressLineNumbers w:val="0"/>
              <w:spacing w:before="0" w:beforeAutospacing="0" w:after="0" w:afterAutospacing="0"/>
              <w:ind w:left="0" w:right="0"/>
              <w:rPr>
                <w:rFonts w:hint="default"/>
                <w:sz w:val="2"/>
                <w:szCs w:val="2"/>
              </w:rPr>
            </w:pPr>
          </w:p>
        </w:tc>
        <w:tc>
          <w:tcPr>
            <w:tcW w:w="3455" w:type="dxa"/>
            <w:vMerge w:val="continue"/>
            <w:tcBorders>
              <w:top w:val="nil"/>
            </w:tcBorders>
          </w:tcPr>
          <w:p w14:paraId="2BAC67E8">
            <w:pPr>
              <w:keepNext w:val="0"/>
              <w:keepLines w:val="0"/>
              <w:suppressLineNumbers w:val="0"/>
              <w:spacing w:before="0" w:beforeAutospacing="0" w:after="0" w:afterAutospacing="0"/>
              <w:ind w:left="0" w:right="0"/>
              <w:rPr>
                <w:rFonts w:hint="default"/>
                <w:sz w:val="2"/>
                <w:szCs w:val="2"/>
              </w:rPr>
            </w:pPr>
          </w:p>
        </w:tc>
        <w:tc>
          <w:tcPr>
            <w:tcW w:w="1450" w:type="dxa"/>
            <w:vMerge w:val="continue"/>
            <w:tcBorders>
              <w:top w:val="nil"/>
            </w:tcBorders>
          </w:tcPr>
          <w:p w14:paraId="34C1E2C0">
            <w:pPr>
              <w:keepNext w:val="0"/>
              <w:keepLines w:val="0"/>
              <w:suppressLineNumbers w:val="0"/>
              <w:spacing w:before="0" w:beforeAutospacing="0" w:after="0" w:afterAutospacing="0"/>
              <w:ind w:left="0" w:right="0"/>
              <w:rPr>
                <w:rFonts w:hint="default"/>
                <w:sz w:val="2"/>
                <w:szCs w:val="2"/>
              </w:rPr>
            </w:pPr>
          </w:p>
        </w:tc>
      </w:tr>
      <w:tr w14:paraId="7FB9F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2274" w:type="dxa"/>
            <w:vMerge w:val="restart"/>
          </w:tcPr>
          <w:p w14:paraId="17488863">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b/>
                <w:sz w:val="22"/>
              </w:rPr>
            </w:pPr>
          </w:p>
          <w:p w14:paraId="0F83C237">
            <w:pPr>
              <w:pStyle w:val="12"/>
              <w:keepNext w:val="0"/>
              <w:keepLines w:val="0"/>
              <w:pageBreakBefore w:val="0"/>
              <w:widowControl w:val="0"/>
              <w:suppressLineNumbers w:val="0"/>
              <w:kinsoku/>
              <w:wordWrap/>
              <w:overflowPunct/>
              <w:topLinePunct w:val="0"/>
              <w:autoSpaceDE/>
              <w:autoSpaceDN/>
              <w:bidi w:val="0"/>
              <w:adjustRightInd/>
              <w:snapToGrid/>
              <w:spacing w:before="10" w:beforeAutospacing="0" w:after="0" w:afterAutospacing="0" w:line="240" w:lineRule="exact"/>
              <w:ind w:left="0" w:right="0"/>
              <w:textAlignment w:val="auto"/>
              <w:rPr>
                <w:rFonts w:hint="default"/>
                <w:b/>
                <w:sz w:val="18"/>
              </w:rPr>
            </w:pPr>
          </w:p>
          <w:p w14:paraId="04D5E033">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37" w:right="0"/>
              <w:textAlignment w:val="auto"/>
              <w:rPr>
                <w:rFonts w:hint="default"/>
                <w:sz w:val="22"/>
              </w:rPr>
            </w:pPr>
            <w:r>
              <w:rPr>
                <w:rFonts w:hint="default"/>
                <w:sz w:val="20"/>
                <w:szCs w:val="20"/>
              </w:rPr>
              <w:t>其他问题</w:t>
            </w:r>
          </w:p>
        </w:tc>
        <w:tc>
          <w:tcPr>
            <w:tcW w:w="970" w:type="dxa"/>
            <w:vAlign w:val="center"/>
          </w:tcPr>
          <w:p w14:paraId="6EED4D12">
            <w:pPr>
              <w:pStyle w:val="12"/>
              <w:keepNext w:val="0"/>
              <w:keepLines w:val="0"/>
              <w:suppressLineNumbers w:val="0"/>
              <w:spacing w:before="82" w:beforeAutospacing="0" w:after="0" w:afterAutospacing="0"/>
              <w:ind w:left="34" w:right="0"/>
              <w:jc w:val="center"/>
              <w:rPr>
                <w:rFonts w:hint="default"/>
                <w:b/>
                <w:sz w:val="22"/>
              </w:rPr>
            </w:pPr>
            <w:r>
              <w:rPr>
                <w:rFonts w:hint="default"/>
                <w:b/>
                <w:w w:val="99"/>
                <w:sz w:val="22"/>
              </w:rPr>
              <w:t>1</w:t>
            </w:r>
          </w:p>
        </w:tc>
        <w:tc>
          <w:tcPr>
            <w:tcW w:w="2047" w:type="dxa"/>
            <w:vAlign w:val="center"/>
          </w:tcPr>
          <w:p w14:paraId="039CA2EB">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财政</w:t>
            </w:r>
          </w:p>
        </w:tc>
        <w:tc>
          <w:tcPr>
            <w:tcW w:w="3355" w:type="dxa"/>
            <w:vAlign w:val="center"/>
          </w:tcPr>
          <w:p w14:paraId="644A28B6">
            <w:pPr>
              <w:keepNext w:val="0"/>
              <w:keepLines w:val="0"/>
              <w:widowControl w:val="0"/>
              <w:suppressLineNumbers w:val="0"/>
              <w:spacing w:before="0" w:beforeAutospacing="0" w:after="0" w:afterAutospacing="0" w:line="580" w:lineRule="exact"/>
              <w:ind w:left="0" w:right="0"/>
              <w:jc w:val="center"/>
              <w:rPr>
                <w:rFonts w:hint="default" w:ascii="宋体" w:hAnsi="宋体" w:eastAsia="宋体" w:cs="宋体"/>
                <w:kern w:val="2"/>
                <w:sz w:val="20"/>
                <w:szCs w:val="20"/>
                <w:lang w:val="zh-CN" w:eastAsia="zh-CN" w:bidi="zh-CN"/>
              </w:rPr>
            </w:pPr>
            <w:r>
              <w:rPr>
                <w:rFonts w:hint="default" w:ascii="宋体" w:hAnsi="宋体" w:eastAsia="宋体" w:cs="宋体"/>
                <w:kern w:val="2"/>
                <w:sz w:val="20"/>
                <w:szCs w:val="20"/>
                <w:lang w:val="en-US" w:eastAsia="zh-CN" w:bidi="zh-CN"/>
              </w:rPr>
              <w:t>公共自行车老化严重造成不适。</w:t>
            </w:r>
          </w:p>
        </w:tc>
        <w:tc>
          <w:tcPr>
            <w:tcW w:w="3455" w:type="dxa"/>
            <w:vAlign w:val="center"/>
          </w:tcPr>
          <w:p w14:paraId="51BA56F2">
            <w:pPr>
              <w:pStyle w:val="12"/>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zh-CN" w:eastAsia="zh-CN" w:bidi="zh-CN"/>
              </w:rPr>
            </w:pPr>
            <w:r>
              <w:rPr>
                <w:rFonts w:hint="default" w:ascii="宋体" w:hAnsi="宋体" w:eastAsia="宋体" w:cs="宋体"/>
                <w:kern w:val="2"/>
                <w:sz w:val="20"/>
                <w:szCs w:val="20"/>
                <w:lang w:val="en-US" w:eastAsia="zh-CN" w:bidi="zh-CN"/>
              </w:rPr>
              <w:t>建议财政预算优先安排更新车龄超过5年的老旧自行车</w:t>
            </w:r>
            <w:r>
              <w:rPr>
                <w:rFonts w:hint="eastAsia" w:cs="宋体"/>
                <w:kern w:val="2"/>
                <w:sz w:val="20"/>
                <w:szCs w:val="20"/>
                <w:lang w:val="en-US" w:eastAsia="zh-CN" w:bidi="zh-CN"/>
              </w:rPr>
              <w:t>。</w:t>
            </w:r>
          </w:p>
        </w:tc>
        <w:tc>
          <w:tcPr>
            <w:tcW w:w="1450" w:type="dxa"/>
          </w:tcPr>
          <w:p w14:paraId="002B663B">
            <w:pPr>
              <w:pStyle w:val="12"/>
              <w:keepNext w:val="0"/>
              <w:keepLines w:val="0"/>
              <w:suppressLineNumbers w:val="0"/>
              <w:spacing w:before="0" w:beforeAutospacing="0" w:after="0" w:afterAutospacing="0"/>
              <w:ind w:left="0" w:right="0"/>
              <w:rPr>
                <w:rFonts w:hint="default" w:ascii="Times New Roman"/>
                <w:sz w:val="22"/>
              </w:rPr>
            </w:pPr>
          </w:p>
        </w:tc>
      </w:tr>
      <w:tr w14:paraId="4FF69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274" w:type="dxa"/>
            <w:vMerge w:val="continue"/>
            <w:tcBorders>
              <w:top w:val="nil"/>
            </w:tcBorders>
          </w:tcPr>
          <w:p w14:paraId="460FDBEA">
            <w:pPr>
              <w:keepNext w:val="0"/>
              <w:keepLines w:val="0"/>
              <w:suppressLineNumbers w:val="0"/>
              <w:spacing w:before="0" w:beforeAutospacing="0" w:after="0" w:afterAutospacing="0"/>
              <w:ind w:left="0" w:right="0"/>
              <w:rPr>
                <w:rFonts w:hint="default"/>
                <w:sz w:val="2"/>
                <w:szCs w:val="2"/>
              </w:rPr>
            </w:pPr>
          </w:p>
        </w:tc>
        <w:tc>
          <w:tcPr>
            <w:tcW w:w="970" w:type="dxa"/>
          </w:tcPr>
          <w:p w14:paraId="3E28D8C6">
            <w:pPr>
              <w:pStyle w:val="12"/>
              <w:keepNext w:val="0"/>
              <w:keepLines w:val="0"/>
              <w:suppressLineNumbers w:val="0"/>
              <w:spacing w:before="83" w:beforeAutospacing="0" w:after="0" w:afterAutospacing="0"/>
              <w:ind w:left="34" w:right="0"/>
              <w:jc w:val="center"/>
              <w:rPr>
                <w:rFonts w:hint="default"/>
                <w:b/>
                <w:sz w:val="22"/>
              </w:rPr>
            </w:pPr>
            <w:r>
              <w:rPr>
                <w:rFonts w:hint="default"/>
                <w:b/>
                <w:w w:val="99"/>
                <w:sz w:val="22"/>
              </w:rPr>
              <w:t>2</w:t>
            </w:r>
          </w:p>
        </w:tc>
        <w:tc>
          <w:tcPr>
            <w:tcW w:w="2047" w:type="dxa"/>
            <w:vAlign w:val="center"/>
          </w:tcPr>
          <w:p w14:paraId="7E906F23">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城管</w:t>
            </w:r>
          </w:p>
        </w:tc>
        <w:tc>
          <w:tcPr>
            <w:tcW w:w="3355" w:type="dxa"/>
            <w:vAlign w:val="center"/>
          </w:tcPr>
          <w:p w14:paraId="77412001">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固定资产管理意识不强。</w:t>
            </w:r>
          </w:p>
        </w:tc>
        <w:tc>
          <w:tcPr>
            <w:tcW w:w="3455" w:type="dxa"/>
            <w:vAlign w:val="center"/>
          </w:tcPr>
          <w:p w14:paraId="51828F80">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组织固定资产评估登记。</w:t>
            </w:r>
          </w:p>
        </w:tc>
        <w:tc>
          <w:tcPr>
            <w:tcW w:w="1450" w:type="dxa"/>
          </w:tcPr>
          <w:p w14:paraId="07899CEF">
            <w:pPr>
              <w:pStyle w:val="12"/>
              <w:keepNext w:val="0"/>
              <w:keepLines w:val="0"/>
              <w:suppressLineNumbers w:val="0"/>
              <w:spacing w:before="0" w:beforeAutospacing="0" w:after="0" w:afterAutospacing="0"/>
              <w:ind w:left="0" w:right="0"/>
              <w:rPr>
                <w:rFonts w:hint="default" w:ascii="Times New Roman"/>
                <w:sz w:val="22"/>
              </w:rPr>
            </w:pPr>
          </w:p>
        </w:tc>
      </w:tr>
      <w:tr w14:paraId="1AAB8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2274" w:type="dxa"/>
            <w:vMerge w:val="continue"/>
            <w:tcBorders>
              <w:top w:val="nil"/>
            </w:tcBorders>
          </w:tcPr>
          <w:p w14:paraId="1710E860">
            <w:pPr>
              <w:keepNext w:val="0"/>
              <w:keepLines w:val="0"/>
              <w:suppressLineNumbers w:val="0"/>
              <w:spacing w:before="0" w:beforeAutospacing="0" w:after="0" w:afterAutospacing="0"/>
              <w:ind w:left="0" w:right="0"/>
              <w:rPr>
                <w:rFonts w:hint="default"/>
                <w:sz w:val="2"/>
                <w:szCs w:val="2"/>
              </w:rPr>
            </w:pPr>
          </w:p>
        </w:tc>
        <w:tc>
          <w:tcPr>
            <w:tcW w:w="970" w:type="dxa"/>
          </w:tcPr>
          <w:p w14:paraId="66E56E8B">
            <w:pPr>
              <w:pStyle w:val="12"/>
              <w:keepNext w:val="0"/>
              <w:keepLines w:val="0"/>
              <w:suppressLineNumbers w:val="0"/>
              <w:spacing w:before="106" w:beforeAutospacing="0" w:after="0" w:afterAutospacing="0"/>
              <w:ind w:left="32" w:right="0"/>
              <w:jc w:val="center"/>
              <w:rPr>
                <w:rFonts w:hint="default"/>
                <w:b/>
                <w:sz w:val="18"/>
              </w:rPr>
            </w:pPr>
            <w:r>
              <w:rPr>
                <w:rFonts w:hint="default"/>
                <w:b/>
                <w:w w:val="99"/>
                <w:sz w:val="18"/>
              </w:rPr>
              <w:t>…</w:t>
            </w:r>
          </w:p>
        </w:tc>
        <w:tc>
          <w:tcPr>
            <w:tcW w:w="2047" w:type="dxa"/>
            <w:vAlign w:val="center"/>
          </w:tcPr>
          <w:p w14:paraId="304D0AA8">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财政</w:t>
            </w:r>
          </w:p>
        </w:tc>
        <w:tc>
          <w:tcPr>
            <w:tcW w:w="3355" w:type="dxa"/>
            <w:vAlign w:val="center"/>
          </w:tcPr>
          <w:p w14:paraId="3D35A7F8">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公共自行车服务范围需要拓展</w:t>
            </w:r>
          </w:p>
        </w:tc>
        <w:tc>
          <w:tcPr>
            <w:tcW w:w="3455" w:type="dxa"/>
            <w:vAlign w:val="center"/>
          </w:tcPr>
          <w:p w14:paraId="735C4E85">
            <w:pPr>
              <w:pStyle w:val="12"/>
              <w:keepNext w:val="0"/>
              <w:keepLines w:val="0"/>
              <w:suppressLineNumbers w:val="0"/>
              <w:spacing w:before="0" w:beforeAutospacing="0" w:after="0" w:afterAutospacing="0"/>
              <w:ind w:left="0" w:right="0"/>
              <w:jc w:val="center"/>
              <w:rPr>
                <w:rFonts w:hint="eastAsia" w:ascii="Times New Roman" w:eastAsia="宋体"/>
                <w:sz w:val="22"/>
                <w:lang w:eastAsia="zh-CN"/>
              </w:rPr>
            </w:pPr>
            <w:r>
              <w:rPr>
                <w:rFonts w:hint="eastAsia" w:ascii="Times New Roman"/>
                <w:sz w:val="22"/>
                <w:lang w:eastAsia="zh-CN"/>
              </w:rPr>
              <w:t>新建站点，完善设置。</w:t>
            </w:r>
          </w:p>
        </w:tc>
        <w:tc>
          <w:tcPr>
            <w:tcW w:w="1450" w:type="dxa"/>
          </w:tcPr>
          <w:p w14:paraId="5BA6BDB1">
            <w:pPr>
              <w:pStyle w:val="12"/>
              <w:keepNext w:val="0"/>
              <w:keepLines w:val="0"/>
              <w:suppressLineNumbers w:val="0"/>
              <w:spacing w:before="0" w:beforeAutospacing="0" w:after="0" w:afterAutospacing="0"/>
              <w:ind w:left="0" w:right="0"/>
              <w:rPr>
                <w:rFonts w:hint="default" w:ascii="Times New Roman"/>
                <w:sz w:val="22"/>
              </w:rPr>
            </w:pPr>
          </w:p>
        </w:tc>
      </w:tr>
    </w:tbl>
    <w:p w14:paraId="6966CBEC">
      <w:pPr>
        <w:spacing w:before="43"/>
        <w:ind w:left="454" w:right="0" w:firstLine="0"/>
        <w:jc w:val="left"/>
        <w:rPr>
          <w:rFonts w:hint="eastAsia" w:ascii="黑体" w:eastAsia="黑体"/>
          <w:sz w:val="28"/>
        </w:rPr>
      </w:pPr>
    </w:p>
    <w:p w14:paraId="30BA1D6B">
      <w:pPr>
        <w:spacing w:before="43"/>
        <w:ind w:left="454" w:right="0" w:firstLine="0"/>
        <w:jc w:val="left"/>
        <w:rPr>
          <w:rFonts w:ascii="黑体"/>
          <w:sz w:val="31"/>
        </w:rPr>
      </w:pPr>
      <w:r>
        <w:rPr>
          <w:rFonts w:hint="eastAsia" w:ascii="黑体" w:eastAsia="黑体"/>
          <w:sz w:val="28"/>
        </w:rPr>
        <w:t>附表</w:t>
      </w:r>
      <w:r>
        <w:rPr>
          <w:rFonts w:hint="eastAsia" w:ascii="黑体" w:eastAsia="黑体"/>
          <w:sz w:val="28"/>
          <w:lang w:val="en-US" w:eastAsia="zh-CN"/>
        </w:rPr>
        <w:t>8-</w:t>
      </w:r>
      <w:r>
        <w:rPr>
          <w:rFonts w:hint="eastAsia" w:ascii="黑体" w:eastAsia="黑体"/>
          <w:sz w:val="28"/>
        </w:rPr>
        <w:t>3</w:t>
      </w:r>
    </w:p>
    <w:p w14:paraId="1B4325C5">
      <w:pPr>
        <w:pStyle w:val="3"/>
        <w:keepNext/>
        <w:keepLines/>
        <w:pageBreakBefore w:val="0"/>
        <w:widowControl w:val="0"/>
        <w:kinsoku/>
        <w:wordWrap/>
        <w:overflowPunct/>
        <w:topLinePunct w:val="0"/>
        <w:autoSpaceDE/>
        <w:autoSpaceDN/>
        <w:bidi w:val="0"/>
        <w:adjustRightInd/>
        <w:snapToGrid/>
        <w:spacing w:before="1" w:after="0" w:line="413" w:lineRule="auto"/>
        <w:ind w:left="0"/>
        <w:jc w:val="center"/>
        <w:textAlignment w:val="auto"/>
        <w:rPr>
          <w:rFonts w:ascii="宋体"/>
          <w:b/>
          <w:sz w:val="28"/>
        </w:rPr>
      </w:pPr>
      <w:r>
        <w:rPr>
          <w:rFonts w:hint="eastAsia"/>
          <w:lang w:val="en-US" w:eastAsia="zh-CN"/>
        </w:rPr>
        <w:t>公共自行车运行费（四期）</w:t>
      </w:r>
      <w:r>
        <w:t>项目绩效评价评分情况表</w:t>
      </w:r>
    </w:p>
    <w:tbl>
      <w:tblPr>
        <w:tblStyle w:val="8"/>
        <w:tblW w:w="0" w:type="auto"/>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132"/>
        <w:gridCol w:w="1199"/>
        <w:gridCol w:w="6498"/>
        <w:gridCol w:w="992"/>
        <w:gridCol w:w="992"/>
      </w:tblGrid>
      <w:tr w14:paraId="6DCED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tcPr>
          <w:p w14:paraId="382ECD43">
            <w:pPr>
              <w:pStyle w:val="12"/>
              <w:keepNext w:val="0"/>
              <w:keepLines w:val="0"/>
              <w:suppressLineNumbers w:val="0"/>
              <w:spacing w:before="10" w:beforeAutospacing="0" w:after="0" w:afterAutospacing="0"/>
              <w:ind w:left="0" w:right="0"/>
              <w:rPr>
                <w:rFonts w:hint="default"/>
                <w:b/>
                <w:sz w:val="16"/>
              </w:rPr>
            </w:pPr>
          </w:p>
          <w:p w14:paraId="53263339">
            <w:pPr>
              <w:pStyle w:val="12"/>
              <w:keepNext w:val="0"/>
              <w:keepLines w:val="0"/>
              <w:suppressLineNumbers w:val="0"/>
              <w:spacing w:before="0" w:beforeAutospacing="0" w:after="0" w:afterAutospacing="0"/>
              <w:ind w:left="179" w:right="0"/>
              <w:rPr>
                <w:rFonts w:hint="default"/>
                <w:b/>
                <w:sz w:val="22"/>
              </w:rPr>
            </w:pPr>
            <w:r>
              <w:rPr>
                <w:rFonts w:hint="default"/>
                <w:b/>
                <w:sz w:val="22"/>
              </w:rPr>
              <w:t>序号</w:t>
            </w:r>
          </w:p>
        </w:tc>
        <w:tc>
          <w:tcPr>
            <w:tcW w:w="1173" w:type="dxa"/>
          </w:tcPr>
          <w:p w14:paraId="20F8DC0F">
            <w:pPr>
              <w:pStyle w:val="12"/>
              <w:keepNext w:val="0"/>
              <w:keepLines w:val="0"/>
              <w:suppressLineNumbers w:val="0"/>
              <w:spacing w:before="89" w:beforeAutospacing="0" w:after="0" w:afterAutospacing="0" w:line="230" w:lineRule="auto"/>
              <w:ind w:left="371" w:right="336"/>
              <w:rPr>
                <w:rFonts w:hint="default"/>
                <w:b/>
                <w:sz w:val="22"/>
              </w:rPr>
            </w:pPr>
            <w:r>
              <w:rPr>
                <w:rFonts w:hint="default"/>
                <w:b/>
                <w:sz w:val="22"/>
              </w:rPr>
              <w:t>一级指标</w:t>
            </w:r>
          </w:p>
        </w:tc>
        <w:tc>
          <w:tcPr>
            <w:tcW w:w="1199" w:type="dxa"/>
          </w:tcPr>
          <w:p w14:paraId="246A2985">
            <w:pPr>
              <w:pStyle w:val="12"/>
              <w:keepNext w:val="0"/>
              <w:keepLines w:val="0"/>
              <w:suppressLineNumbers w:val="0"/>
              <w:spacing w:before="89" w:beforeAutospacing="0" w:after="0" w:afterAutospacing="0" w:line="230" w:lineRule="auto"/>
              <w:ind w:left="386" w:right="347"/>
              <w:rPr>
                <w:rFonts w:hint="default"/>
                <w:b/>
                <w:sz w:val="22"/>
              </w:rPr>
            </w:pPr>
            <w:r>
              <w:rPr>
                <w:rFonts w:hint="default"/>
                <w:b/>
                <w:sz w:val="22"/>
              </w:rPr>
              <w:t>二级指标</w:t>
            </w:r>
          </w:p>
        </w:tc>
        <w:tc>
          <w:tcPr>
            <w:tcW w:w="1132" w:type="dxa"/>
          </w:tcPr>
          <w:p w14:paraId="3D96D364">
            <w:pPr>
              <w:pStyle w:val="12"/>
              <w:keepNext w:val="0"/>
              <w:keepLines w:val="0"/>
              <w:suppressLineNumbers w:val="0"/>
              <w:spacing w:before="89" w:beforeAutospacing="0" w:after="0" w:afterAutospacing="0" w:line="230" w:lineRule="auto"/>
              <w:ind w:left="351" w:right="315"/>
              <w:rPr>
                <w:rFonts w:hint="default"/>
                <w:b/>
                <w:sz w:val="22"/>
              </w:rPr>
            </w:pPr>
            <w:r>
              <w:rPr>
                <w:rFonts w:hint="default"/>
                <w:b/>
                <w:sz w:val="22"/>
              </w:rPr>
              <w:t>三级指标</w:t>
            </w:r>
          </w:p>
        </w:tc>
        <w:tc>
          <w:tcPr>
            <w:tcW w:w="1199" w:type="dxa"/>
          </w:tcPr>
          <w:p w14:paraId="2D6818E7">
            <w:pPr>
              <w:pStyle w:val="12"/>
              <w:keepNext w:val="0"/>
              <w:keepLines w:val="0"/>
              <w:suppressLineNumbers w:val="0"/>
              <w:spacing w:before="10" w:beforeAutospacing="0" w:after="0" w:afterAutospacing="0"/>
              <w:ind w:left="0" w:right="0"/>
              <w:rPr>
                <w:rFonts w:hint="default"/>
                <w:b/>
                <w:sz w:val="16"/>
              </w:rPr>
            </w:pPr>
          </w:p>
          <w:p w14:paraId="7FA51DD0">
            <w:pPr>
              <w:pStyle w:val="12"/>
              <w:keepNext w:val="0"/>
              <w:keepLines w:val="0"/>
              <w:suppressLineNumbers w:val="0"/>
              <w:spacing w:before="0" w:beforeAutospacing="0" w:after="0" w:afterAutospacing="0"/>
              <w:ind w:left="165" w:right="0"/>
              <w:rPr>
                <w:rFonts w:hint="default"/>
                <w:b/>
                <w:sz w:val="22"/>
              </w:rPr>
            </w:pPr>
            <w:r>
              <w:rPr>
                <w:rFonts w:hint="default"/>
                <w:b/>
                <w:sz w:val="22"/>
              </w:rPr>
              <w:t>标准分值</w:t>
            </w:r>
          </w:p>
        </w:tc>
        <w:tc>
          <w:tcPr>
            <w:tcW w:w="6498" w:type="dxa"/>
          </w:tcPr>
          <w:p w14:paraId="6B9424AF">
            <w:pPr>
              <w:pStyle w:val="12"/>
              <w:keepNext w:val="0"/>
              <w:keepLines w:val="0"/>
              <w:suppressLineNumbers w:val="0"/>
              <w:spacing w:before="10" w:beforeAutospacing="0" w:after="0" w:afterAutospacing="0"/>
              <w:ind w:left="0" w:right="0"/>
              <w:rPr>
                <w:rFonts w:hint="default"/>
                <w:b/>
                <w:sz w:val="16"/>
              </w:rPr>
            </w:pPr>
          </w:p>
          <w:p w14:paraId="19B9B7CB">
            <w:pPr>
              <w:pStyle w:val="12"/>
              <w:keepNext w:val="0"/>
              <w:keepLines w:val="0"/>
              <w:suppressLineNumbers w:val="0"/>
              <w:spacing w:before="0" w:beforeAutospacing="0" w:after="0" w:afterAutospacing="0"/>
              <w:ind w:left="2796" w:right="2758"/>
              <w:jc w:val="center"/>
              <w:rPr>
                <w:rFonts w:hint="default"/>
                <w:b/>
                <w:sz w:val="22"/>
              </w:rPr>
            </w:pPr>
            <w:r>
              <w:rPr>
                <w:rFonts w:hint="default"/>
                <w:b/>
                <w:sz w:val="22"/>
              </w:rPr>
              <w:t>评分情况</w:t>
            </w:r>
          </w:p>
        </w:tc>
        <w:tc>
          <w:tcPr>
            <w:tcW w:w="992" w:type="dxa"/>
          </w:tcPr>
          <w:p w14:paraId="514A6169">
            <w:pPr>
              <w:pStyle w:val="12"/>
              <w:keepNext w:val="0"/>
              <w:keepLines w:val="0"/>
              <w:suppressLineNumbers w:val="0"/>
              <w:spacing w:before="10" w:beforeAutospacing="0" w:after="0" w:afterAutospacing="0"/>
              <w:ind w:left="0" w:right="0"/>
              <w:rPr>
                <w:rFonts w:hint="default"/>
                <w:b/>
                <w:sz w:val="16"/>
              </w:rPr>
            </w:pPr>
          </w:p>
          <w:p w14:paraId="276A45B7">
            <w:pPr>
              <w:pStyle w:val="12"/>
              <w:keepNext w:val="0"/>
              <w:keepLines w:val="0"/>
              <w:suppressLineNumbers w:val="0"/>
              <w:spacing w:before="0" w:beforeAutospacing="0" w:after="0" w:afterAutospacing="0"/>
              <w:ind w:left="287" w:right="0"/>
              <w:rPr>
                <w:rFonts w:hint="default"/>
                <w:b/>
                <w:sz w:val="22"/>
              </w:rPr>
            </w:pPr>
            <w:r>
              <w:rPr>
                <w:rFonts w:hint="default"/>
                <w:b/>
                <w:sz w:val="22"/>
              </w:rPr>
              <w:t>得分</w:t>
            </w:r>
          </w:p>
        </w:tc>
        <w:tc>
          <w:tcPr>
            <w:tcW w:w="992" w:type="dxa"/>
          </w:tcPr>
          <w:p w14:paraId="07518484">
            <w:pPr>
              <w:pStyle w:val="12"/>
              <w:keepNext w:val="0"/>
              <w:keepLines w:val="0"/>
              <w:suppressLineNumbers w:val="0"/>
              <w:spacing w:before="10" w:beforeAutospacing="0" w:after="0" w:afterAutospacing="0"/>
              <w:ind w:left="0" w:right="0"/>
              <w:rPr>
                <w:rFonts w:hint="default"/>
                <w:b/>
                <w:sz w:val="16"/>
              </w:rPr>
            </w:pPr>
          </w:p>
          <w:p w14:paraId="4B686CDF">
            <w:pPr>
              <w:pStyle w:val="12"/>
              <w:keepNext w:val="0"/>
              <w:keepLines w:val="0"/>
              <w:suppressLineNumbers w:val="0"/>
              <w:spacing w:before="0" w:beforeAutospacing="0" w:after="0" w:afterAutospacing="0"/>
              <w:ind w:left="289" w:right="0"/>
              <w:rPr>
                <w:rFonts w:hint="default"/>
                <w:b/>
                <w:sz w:val="22"/>
              </w:rPr>
            </w:pPr>
            <w:r>
              <w:rPr>
                <w:rFonts w:hint="default"/>
                <w:b/>
                <w:sz w:val="22"/>
              </w:rPr>
              <w:t>扣分</w:t>
            </w:r>
          </w:p>
        </w:tc>
      </w:tr>
      <w:tr w14:paraId="318E4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14:paraId="1A7B0B65">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1</w:t>
            </w:r>
          </w:p>
        </w:tc>
        <w:tc>
          <w:tcPr>
            <w:tcW w:w="1173" w:type="dxa"/>
            <w:vAlign w:val="center"/>
          </w:tcPr>
          <w:p w14:paraId="0E14C3F6">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199" w:type="dxa"/>
            <w:vAlign w:val="center"/>
          </w:tcPr>
          <w:p w14:paraId="1752404F">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rPr>
              <w:t>年初预算</w:t>
            </w:r>
          </w:p>
          <w:p w14:paraId="3989A13E">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rPr>
            </w:pPr>
            <w:r>
              <w:rPr>
                <w:rFonts w:hint="eastAsia" w:ascii="宋体" w:hAnsi="宋体" w:eastAsia="宋体" w:cs="宋体"/>
                <w:kern w:val="0"/>
                <w:sz w:val="18"/>
                <w:szCs w:val="18"/>
                <w:lang w:val="en-US" w:eastAsia="zh-CN"/>
              </w:rPr>
              <w:t>448.42</w:t>
            </w:r>
            <w:r>
              <w:rPr>
                <w:rFonts w:hint="eastAsia" w:ascii="宋体" w:hAnsi="宋体" w:eastAsia="宋体" w:cs="宋体"/>
                <w:kern w:val="0"/>
                <w:sz w:val="18"/>
                <w:szCs w:val="18"/>
              </w:rPr>
              <w:t>万元</w:t>
            </w:r>
          </w:p>
        </w:tc>
        <w:tc>
          <w:tcPr>
            <w:tcW w:w="1132" w:type="dxa"/>
            <w:vAlign w:val="center"/>
          </w:tcPr>
          <w:p w14:paraId="3015BD8A">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kern w:val="0"/>
                <w:sz w:val="18"/>
                <w:szCs w:val="18"/>
              </w:rPr>
              <w:t>全年预算</w:t>
            </w:r>
            <w:r>
              <w:rPr>
                <w:rFonts w:hint="eastAsia" w:ascii="宋体" w:hAnsi="宋体" w:eastAsia="宋体" w:cs="宋体"/>
                <w:kern w:val="0"/>
                <w:sz w:val="18"/>
                <w:szCs w:val="18"/>
                <w:lang w:val="en-US" w:eastAsia="zh-CN"/>
              </w:rPr>
              <w:t>448.42</w:t>
            </w:r>
            <w:r>
              <w:rPr>
                <w:rFonts w:hint="eastAsia" w:ascii="宋体" w:hAnsi="宋体" w:eastAsia="宋体" w:cs="宋体"/>
                <w:kern w:val="0"/>
                <w:sz w:val="18"/>
                <w:szCs w:val="18"/>
              </w:rPr>
              <w:t>万元</w:t>
            </w:r>
          </w:p>
        </w:tc>
        <w:tc>
          <w:tcPr>
            <w:tcW w:w="1199" w:type="dxa"/>
            <w:vAlign w:val="center"/>
          </w:tcPr>
          <w:p w14:paraId="2C0732F2">
            <w:pPr>
              <w:keepNext w:val="0"/>
              <w:keepLines w:val="0"/>
              <w:widowControl/>
              <w:suppressLineNumbers w:val="0"/>
              <w:spacing w:before="0" w:beforeAutospacing="0" w:after="0" w:afterAutospacing="0" w:line="240" w:lineRule="exact"/>
              <w:ind w:left="0" w:leftChars="0" w:right="0" w:rightChars="0"/>
              <w:jc w:val="center"/>
              <w:rPr>
                <w:rFonts w:hint="default" w:ascii="Times New Roman" w:eastAsiaTheme="minorEastAsia"/>
                <w:sz w:val="26"/>
                <w:lang w:val="en-US" w:eastAsia="zh-CN"/>
              </w:rPr>
            </w:pPr>
            <w:r>
              <w:rPr>
                <w:rFonts w:hint="eastAsia" w:ascii="宋体" w:hAnsi="宋体" w:eastAsia="宋体" w:cs="宋体"/>
                <w:kern w:val="0"/>
                <w:sz w:val="18"/>
                <w:szCs w:val="18"/>
                <w:lang w:val="en-US" w:eastAsia="zh-CN"/>
              </w:rPr>
              <w:t>10</w:t>
            </w:r>
          </w:p>
        </w:tc>
        <w:tc>
          <w:tcPr>
            <w:tcW w:w="6498" w:type="dxa"/>
            <w:vAlign w:val="center"/>
          </w:tcPr>
          <w:p w14:paraId="37E3CE39">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全年执行数</w:t>
            </w:r>
            <w:r>
              <w:rPr>
                <w:rFonts w:hint="eastAsia" w:ascii="宋体" w:hAnsi="宋体" w:eastAsia="宋体" w:cs="宋体"/>
                <w:kern w:val="0"/>
                <w:sz w:val="18"/>
                <w:szCs w:val="18"/>
                <w:lang w:val="en-US" w:eastAsia="zh-CN"/>
              </w:rPr>
              <w:t>444.98</w:t>
            </w:r>
            <w:r>
              <w:rPr>
                <w:rFonts w:hint="eastAsia" w:ascii="宋体" w:hAnsi="宋体" w:eastAsia="宋体" w:cs="宋体"/>
                <w:kern w:val="0"/>
                <w:sz w:val="18"/>
                <w:szCs w:val="18"/>
              </w:rPr>
              <w:t>万元</w:t>
            </w:r>
          </w:p>
        </w:tc>
        <w:tc>
          <w:tcPr>
            <w:tcW w:w="992" w:type="dxa"/>
            <w:vAlign w:val="center"/>
          </w:tcPr>
          <w:p w14:paraId="3970BB09">
            <w:pPr>
              <w:keepNext w:val="0"/>
              <w:keepLines w:val="0"/>
              <w:widowControl/>
              <w:suppressLineNumbers w:val="0"/>
              <w:spacing w:before="0" w:beforeAutospacing="0" w:after="0" w:afterAutospacing="0" w:line="240" w:lineRule="exact"/>
              <w:ind w:left="0" w:leftChars="0" w:right="0" w:rightChars="0"/>
              <w:jc w:val="center"/>
              <w:rPr>
                <w:rFonts w:hint="default" w:ascii="Times New Roman" w:eastAsiaTheme="minorEastAsia"/>
                <w:sz w:val="26"/>
                <w:lang w:val="en-US" w:eastAsia="zh-CN"/>
              </w:rPr>
            </w:pPr>
            <w:r>
              <w:rPr>
                <w:rFonts w:hint="eastAsia" w:ascii="宋体" w:hAnsi="宋体" w:eastAsia="宋体" w:cs="宋体"/>
                <w:kern w:val="0"/>
                <w:sz w:val="18"/>
                <w:szCs w:val="18"/>
                <w:lang w:val="en-US" w:eastAsia="zh-CN"/>
              </w:rPr>
              <w:t>10</w:t>
            </w:r>
          </w:p>
        </w:tc>
        <w:tc>
          <w:tcPr>
            <w:tcW w:w="992" w:type="dxa"/>
            <w:vAlign w:val="center"/>
          </w:tcPr>
          <w:p w14:paraId="796B3F72">
            <w:pPr>
              <w:pStyle w:val="12"/>
              <w:keepNext w:val="0"/>
              <w:keepLines w:val="0"/>
              <w:suppressLineNumbers w:val="0"/>
              <w:spacing w:before="0" w:beforeAutospacing="0" w:after="0" w:afterAutospacing="0"/>
              <w:ind w:left="0" w:right="0"/>
              <w:jc w:val="center"/>
              <w:rPr>
                <w:rFonts w:hint="default" w:ascii="Times New Roman"/>
                <w:sz w:val="26"/>
              </w:rPr>
            </w:pPr>
          </w:p>
        </w:tc>
      </w:tr>
      <w:tr w14:paraId="74C62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787" w:type="dxa"/>
            <w:vAlign w:val="center"/>
          </w:tcPr>
          <w:p w14:paraId="14AF6B55">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2</w:t>
            </w:r>
          </w:p>
        </w:tc>
        <w:tc>
          <w:tcPr>
            <w:tcW w:w="1173" w:type="dxa"/>
            <w:vAlign w:val="center"/>
          </w:tcPr>
          <w:p w14:paraId="67F43C79">
            <w:pPr>
              <w:keepNext w:val="0"/>
              <w:keepLines w:val="0"/>
              <w:suppressLineNumbers w:val="0"/>
              <w:spacing w:before="0" w:beforeAutospacing="0" w:after="0" w:afterAutospacing="0"/>
              <w:ind w:left="0" w:leftChars="0" w:right="0" w:rightChars="0"/>
              <w:jc w:val="center"/>
              <w:rPr>
                <w:rFonts w:hint="default" w:ascii="Times New Roman"/>
                <w:sz w:val="26"/>
              </w:rPr>
            </w:pPr>
            <w:r>
              <w:rPr>
                <w:rFonts w:hint="eastAsia" w:ascii="宋体" w:hAnsi="宋体" w:eastAsia="宋体" w:cs="宋体"/>
                <w:kern w:val="0"/>
                <w:sz w:val="18"/>
                <w:szCs w:val="18"/>
              </w:rPr>
              <w:t>产出指标</w:t>
            </w:r>
          </w:p>
        </w:tc>
        <w:tc>
          <w:tcPr>
            <w:tcW w:w="1199" w:type="dxa"/>
            <w:vAlign w:val="center"/>
          </w:tcPr>
          <w:p w14:paraId="64D6ED82">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数量指标</w:t>
            </w:r>
          </w:p>
        </w:tc>
        <w:tc>
          <w:tcPr>
            <w:tcW w:w="1132" w:type="dxa"/>
            <w:vAlign w:val="center"/>
          </w:tcPr>
          <w:p w14:paraId="03494439">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全面</w:t>
            </w:r>
            <w:r>
              <w:rPr>
                <w:rFonts w:hint="eastAsia" w:ascii="宋体" w:hAnsi="宋体" w:eastAsia="宋体" w:cs="宋体"/>
                <w:color w:val="000000"/>
                <w:kern w:val="0"/>
                <w:sz w:val="18"/>
                <w:szCs w:val="18"/>
                <w:lang w:val="en-US" w:eastAsia="zh-CN"/>
              </w:rPr>
              <w:t>完成</w:t>
            </w:r>
          </w:p>
        </w:tc>
        <w:tc>
          <w:tcPr>
            <w:tcW w:w="1199" w:type="dxa"/>
            <w:vAlign w:val="center"/>
          </w:tcPr>
          <w:p w14:paraId="777185C2">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67FB988C">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2500辆</w:t>
            </w:r>
          </w:p>
        </w:tc>
        <w:tc>
          <w:tcPr>
            <w:tcW w:w="992" w:type="dxa"/>
            <w:vAlign w:val="center"/>
          </w:tcPr>
          <w:p w14:paraId="03893C7E">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48FD41FB">
            <w:pPr>
              <w:pStyle w:val="12"/>
              <w:keepNext w:val="0"/>
              <w:keepLines w:val="0"/>
              <w:suppressLineNumbers w:val="0"/>
              <w:spacing w:before="0" w:beforeAutospacing="0" w:after="0" w:afterAutospacing="0"/>
              <w:ind w:left="0" w:leftChars="0" w:right="0" w:rightChars="0"/>
              <w:jc w:val="center"/>
              <w:rPr>
                <w:rFonts w:hint="default" w:ascii="Times New Roman"/>
                <w:sz w:val="26"/>
              </w:rPr>
            </w:pPr>
          </w:p>
        </w:tc>
      </w:tr>
      <w:tr w14:paraId="586C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5FA8EEDC">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3</w:t>
            </w:r>
          </w:p>
        </w:tc>
        <w:tc>
          <w:tcPr>
            <w:tcW w:w="1173" w:type="dxa"/>
            <w:vAlign w:val="center"/>
          </w:tcPr>
          <w:p w14:paraId="23084B03">
            <w:pPr>
              <w:keepNext w:val="0"/>
              <w:keepLines w:val="0"/>
              <w:suppressLineNumbers w:val="0"/>
              <w:spacing w:before="0" w:beforeAutospacing="0" w:after="0" w:afterAutospacing="0"/>
              <w:ind w:left="0" w:leftChars="0" w:right="0" w:rightChars="0"/>
              <w:jc w:val="center"/>
              <w:rPr>
                <w:rFonts w:hint="default" w:ascii="Times New Roman"/>
                <w:sz w:val="26"/>
              </w:rPr>
            </w:pPr>
            <w:r>
              <w:rPr>
                <w:rFonts w:hint="eastAsia" w:ascii="宋体" w:hAnsi="宋体" w:eastAsia="宋体" w:cs="宋体"/>
                <w:kern w:val="0"/>
                <w:sz w:val="18"/>
                <w:szCs w:val="18"/>
              </w:rPr>
              <w:t>产出指标</w:t>
            </w:r>
          </w:p>
        </w:tc>
        <w:tc>
          <w:tcPr>
            <w:tcW w:w="1199" w:type="dxa"/>
            <w:vAlign w:val="center"/>
          </w:tcPr>
          <w:p w14:paraId="1064CEA6">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质量指标</w:t>
            </w:r>
          </w:p>
        </w:tc>
        <w:tc>
          <w:tcPr>
            <w:tcW w:w="1132" w:type="dxa"/>
            <w:vAlign w:val="center"/>
          </w:tcPr>
          <w:p w14:paraId="75F958BD">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实现较好</w:t>
            </w:r>
          </w:p>
        </w:tc>
        <w:tc>
          <w:tcPr>
            <w:tcW w:w="1199" w:type="dxa"/>
            <w:vAlign w:val="center"/>
          </w:tcPr>
          <w:p w14:paraId="7BA5A13B">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38984309">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color w:val="000000"/>
                <w:kern w:val="0"/>
                <w:sz w:val="18"/>
                <w:szCs w:val="18"/>
                <w:lang w:eastAsia="zh-CN"/>
              </w:rPr>
              <w:t>运行正常</w:t>
            </w:r>
          </w:p>
        </w:tc>
        <w:tc>
          <w:tcPr>
            <w:tcW w:w="992" w:type="dxa"/>
            <w:vAlign w:val="center"/>
          </w:tcPr>
          <w:p w14:paraId="66CB5CC1">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45D3CA6F">
            <w:pPr>
              <w:pStyle w:val="12"/>
              <w:keepNext w:val="0"/>
              <w:keepLines w:val="0"/>
              <w:suppressLineNumbers w:val="0"/>
              <w:spacing w:before="0" w:beforeAutospacing="0" w:after="0" w:afterAutospacing="0"/>
              <w:ind w:left="0" w:leftChars="0" w:right="0" w:rightChars="0"/>
              <w:jc w:val="center"/>
              <w:rPr>
                <w:rFonts w:hint="default" w:ascii="Times New Roman"/>
                <w:sz w:val="26"/>
              </w:rPr>
            </w:pPr>
          </w:p>
        </w:tc>
      </w:tr>
      <w:tr w14:paraId="099F7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787" w:type="dxa"/>
            <w:vAlign w:val="center"/>
          </w:tcPr>
          <w:p w14:paraId="76AACA22">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4</w:t>
            </w:r>
          </w:p>
        </w:tc>
        <w:tc>
          <w:tcPr>
            <w:tcW w:w="1173" w:type="dxa"/>
            <w:vAlign w:val="center"/>
          </w:tcPr>
          <w:p w14:paraId="50C7A7BF">
            <w:pPr>
              <w:keepNext w:val="0"/>
              <w:keepLines w:val="0"/>
              <w:suppressLineNumbers w:val="0"/>
              <w:spacing w:before="0" w:beforeAutospacing="0" w:after="0" w:afterAutospacing="0"/>
              <w:ind w:left="0" w:leftChars="0" w:right="0" w:rightChars="0"/>
              <w:jc w:val="center"/>
              <w:rPr>
                <w:rFonts w:hint="default" w:ascii="Times New Roman"/>
                <w:sz w:val="26"/>
              </w:rPr>
            </w:pPr>
            <w:r>
              <w:rPr>
                <w:rFonts w:hint="eastAsia" w:ascii="宋体" w:hAnsi="宋体" w:eastAsia="宋体" w:cs="宋体"/>
                <w:kern w:val="0"/>
                <w:sz w:val="18"/>
                <w:szCs w:val="18"/>
              </w:rPr>
              <w:t>产出指标</w:t>
            </w:r>
          </w:p>
        </w:tc>
        <w:tc>
          <w:tcPr>
            <w:tcW w:w="1199" w:type="dxa"/>
            <w:vAlign w:val="center"/>
          </w:tcPr>
          <w:p w14:paraId="3B470209">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时效指标</w:t>
            </w:r>
          </w:p>
        </w:tc>
        <w:tc>
          <w:tcPr>
            <w:tcW w:w="1132" w:type="dxa"/>
            <w:vAlign w:val="center"/>
          </w:tcPr>
          <w:p w14:paraId="1CB2F1FA">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按时完成</w:t>
            </w:r>
          </w:p>
        </w:tc>
        <w:tc>
          <w:tcPr>
            <w:tcW w:w="1199" w:type="dxa"/>
            <w:vAlign w:val="center"/>
          </w:tcPr>
          <w:p w14:paraId="71407012">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1EA29588">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color w:val="000000"/>
                <w:kern w:val="0"/>
                <w:sz w:val="18"/>
                <w:szCs w:val="18"/>
                <w:lang w:eastAsia="zh-CN"/>
              </w:rPr>
              <w:t>服务高效</w:t>
            </w:r>
          </w:p>
        </w:tc>
        <w:tc>
          <w:tcPr>
            <w:tcW w:w="992" w:type="dxa"/>
            <w:vAlign w:val="center"/>
          </w:tcPr>
          <w:p w14:paraId="017DA20A">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713546AB">
            <w:pPr>
              <w:pStyle w:val="12"/>
              <w:keepNext w:val="0"/>
              <w:keepLines w:val="0"/>
              <w:suppressLineNumbers w:val="0"/>
              <w:spacing w:before="0" w:beforeAutospacing="0" w:after="0" w:afterAutospacing="0"/>
              <w:ind w:left="0" w:leftChars="0" w:right="0" w:rightChars="0"/>
              <w:jc w:val="center"/>
              <w:rPr>
                <w:rFonts w:hint="default" w:ascii="Times New Roman"/>
                <w:sz w:val="26"/>
              </w:rPr>
            </w:pPr>
          </w:p>
        </w:tc>
      </w:tr>
      <w:tr w14:paraId="1EB91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14:paraId="70C42739">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5</w:t>
            </w:r>
          </w:p>
        </w:tc>
        <w:tc>
          <w:tcPr>
            <w:tcW w:w="1173" w:type="dxa"/>
            <w:vAlign w:val="center"/>
          </w:tcPr>
          <w:p w14:paraId="1CDC2236">
            <w:pPr>
              <w:keepNext w:val="0"/>
              <w:keepLines w:val="0"/>
              <w:suppressLineNumbers w:val="0"/>
              <w:spacing w:before="0" w:beforeAutospacing="0" w:after="0" w:afterAutospacing="0"/>
              <w:ind w:left="0" w:leftChars="0" w:right="0" w:rightChars="0"/>
              <w:jc w:val="center"/>
              <w:rPr>
                <w:rFonts w:hint="default" w:ascii="Times New Roman"/>
                <w:sz w:val="26"/>
              </w:rPr>
            </w:pPr>
            <w:r>
              <w:rPr>
                <w:rFonts w:hint="eastAsia" w:ascii="宋体" w:hAnsi="宋体" w:eastAsia="宋体" w:cs="宋体"/>
                <w:kern w:val="0"/>
                <w:sz w:val="18"/>
                <w:szCs w:val="18"/>
              </w:rPr>
              <w:t>产出指标</w:t>
            </w:r>
          </w:p>
        </w:tc>
        <w:tc>
          <w:tcPr>
            <w:tcW w:w="1199" w:type="dxa"/>
            <w:vAlign w:val="center"/>
          </w:tcPr>
          <w:p w14:paraId="5CBAC4E7">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成本指标</w:t>
            </w:r>
          </w:p>
        </w:tc>
        <w:tc>
          <w:tcPr>
            <w:tcW w:w="1132" w:type="dxa"/>
            <w:vAlign w:val="center"/>
          </w:tcPr>
          <w:p w14:paraId="392EF005">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成本控制</w:t>
            </w:r>
          </w:p>
        </w:tc>
        <w:tc>
          <w:tcPr>
            <w:tcW w:w="1199" w:type="dxa"/>
            <w:vAlign w:val="center"/>
          </w:tcPr>
          <w:p w14:paraId="77578C31">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18DB95D0">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color w:val="000000"/>
                <w:kern w:val="0"/>
                <w:sz w:val="18"/>
                <w:szCs w:val="18"/>
                <w:lang w:eastAsia="zh-CN"/>
              </w:rPr>
              <w:t>控制合理</w:t>
            </w:r>
          </w:p>
        </w:tc>
        <w:tc>
          <w:tcPr>
            <w:tcW w:w="992" w:type="dxa"/>
            <w:vAlign w:val="center"/>
          </w:tcPr>
          <w:p w14:paraId="435E66D7">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376CFBFD">
            <w:pPr>
              <w:pStyle w:val="12"/>
              <w:keepNext w:val="0"/>
              <w:keepLines w:val="0"/>
              <w:suppressLineNumbers w:val="0"/>
              <w:spacing w:before="0" w:beforeAutospacing="0" w:after="0" w:afterAutospacing="0"/>
              <w:ind w:left="0" w:leftChars="0" w:right="0" w:rightChars="0"/>
              <w:jc w:val="center"/>
              <w:rPr>
                <w:rFonts w:hint="default" w:ascii="Times New Roman"/>
                <w:sz w:val="26"/>
              </w:rPr>
            </w:pPr>
          </w:p>
        </w:tc>
      </w:tr>
      <w:tr w14:paraId="6B470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540D2E26">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6</w:t>
            </w:r>
          </w:p>
        </w:tc>
        <w:tc>
          <w:tcPr>
            <w:tcW w:w="1173" w:type="dxa"/>
            <w:vAlign w:val="center"/>
          </w:tcPr>
          <w:p w14:paraId="79BC0CED">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rPr>
              <w:t>效益指标</w:t>
            </w:r>
          </w:p>
        </w:tc>
        <w:tc>
          <w:tcPr>
            <w:tcW w:w="1199" w:type="dxa"/>
            <w:vAlign w:val="center"/>
          </w:tcPr>
          <w:p w14:paraId="2D71324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经济效益</w:t>
            </w:r>
          </w:p>
          <w:p w14:paraId="6724F12B">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指标</w:t>
            </w:r>
          </w:p>
        </w:tc>
        <w:tc>
          <w:tcPr>
            <w:tcW w:w="1132" w:type="dxa"/>
            <w:vAlign w:val="center"/>
          </w:tcPr>
          <w:p w14:paraId="2DC38573">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节约出行成本，促进假日经济，助力出行出游。</w:t>
            </w:r>
          </w:p>
        </w:tc>
        <w:tc>
          <w:tcPr>
            <w:tcW w:w="1199" w:type="dxa"/>
            <w:vAlign w:val="center"/>
          </w:tcPr>
          <w:p w14:paraId="48F9EF04">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7D4E7130">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color w:val="000000"/>
                <w:kern w:val="0"/>
                <w:sz w:val="18"/>
                <w:szCs w:val="18"/>
                <w:lang w:eastAsia="zh-CN"/>
              </w:rPr>
              <w:t>节约出行成本</w:t>
            </w:r>
            <w:r>
              <w:rPr>
                <w:rFonts w:hint="eastAsia" w:ascii="宋体" w:hAnsi="宋体" w:eastAsia="宋体" w:cs="宋体"/>
                <w:color w:val="000000"/>
                <w:kern w:val="0"/>
                <w:sz w:val="18"/>
                <w:szCs w:val="18"/>
                <w:lang w:val="en-US" w:eastAsia="zh-CN"/>
              </w:rPr>
              <w:t>1075万元</w:t>
            </w:r>
            <w:r>
              <w:rPr>
                <w:rFonts w:hint="eastAsia" w:ascii="宋体" w:hAnsi="宋体" w:eastAsia="宋体" w:cs="宋体"/>
                <w:color w:val="000000"/>
                <w:kern w:val="0"/>
                <w:sz w:val="18"/>
                <w:szCs w:val="18"/>
                <w:lang w:eastAsia="zh-CN"/>
              </w:rPr>
              <w:t>，促进假日经济，助力出行出游。</w:t>
            </w:r>
          </w:p>
        </w:tc>
        <w:tc>
          <w:tcPr>
            <w:tcW w:w="992" w:type="dxa"/>
            <w:vAlign w:val="center"/>
          </w:tcPr>
          <w:p w14:paraId="6980F24E">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304C9E96">
            <w:pPr>
              <w:pStyle w:val="12"/>
              <w:keepNext w:val="0"/>
              <w:keepLines w:val="0"/>
              <w:suppressLineNumbers w:val="0"/>
              <w:spacing w:before="0" w:beforeAutospacing="0" w:after="0" w:afterAutospacing="0"/>
              <w:ind w:left="0" w:right="0"/>
              <w:jc w:val="center"/>
              <w:rPr>
                <w:rFonts w:hint="default" w:ascii="Times New Roman"/>
                <w:sz w:val="26"/>
              </w:rPr>
            </w:pPr>
          </w:p>
        </w:tc>
      </w:tr>
      <w:tr w14:paraId="199A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787" w:type="dxa"/>
            <w:vAlign w:val="center"/>
          </w:tcPr>
          <w:p w14:paraId="38E6B947">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7</w:t>
            </w:r>
          </w:p>
        </w:tc>
        <w:tc>
          <w:tcPr>
            <w:tcW w:w="1173" w:type="dxa"/>
            <w:vAlign w:val="center"/>
          </w:tcPr>
          <w:p w14:paraId="22D1B82C">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rPr>
              <w:t>效益指标</w:t>
            </w:r>
          </w:p>
        </w:tc>
        <w:tc>
          <w:tcPr>
            <w:tcW w:w="1199" w:type="dxa"/>
            <w:vAlign w:val="center"/>
          </w:tcPr>
          <w:p w14:paraId="4BE8132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社会效益</w:t>
            </w:r>
          </w:p>
          <w:p w14:paraId="46F359BF">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指标</w:t>
            </w:r>
          </w:p>
        </w:tc>
        <w:tc>
          <w:tcPr>
            <w:tcW w:w="1132" w:type="dxa"/>
            <w:vAlign w:val="center"/>
          </w:tcPr>
          <w:p w14:paraId="7738CA6A">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公益惠民。</w:t>
            </w:r>
          </w:p>
        </w:tc>
        <w:tc>
          <w:tcPr>
            <w:tcW w:w="1199" w:type="dxa"/>
            <w:vAlign w:val="center"/>
          </w:tcPr>
          <w:p w14:paraId="38ED0E5A">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lang w:val="en-US" w:eastAsia="zh-CN"/>
              </w:rPr>
              <w:t>10</w:t>
            </w:r>
          </w:p>
        </w:tc>
        <w:tc>
          <w:tcPr>
            <w:tcW w:w="6498" w:type="dxa"/>
            <w:vAlign w:val="center"/>
          </w:tcPr>
          <w:p w14:paraId="3540901F">
            <w:pPr>
              <w:keepNext w:val="0"/>
              <w:keepLines w:val="0"/>
              <w:widowControl/>
              <w:suppressLineNumbers w:val="0"/>
              <w:spacing w:before="0" w:beforeAutospacing="0" w:after="0" w:afterAutospacing="0" w:line="240" w:lineRule="exact"/>
              <w:ind w:left="0" w:leftChars="0" w:right="0" w:rightChars="0"/>
              <w:jc w:val="both"/>
              <w:rPr>
                <w:rFonts w:hint="default" w:ascii="Times New Roman"/>
                <w:sz w:val="26"/>
              </w:rPr>
            </w:pPr>
            <w:r>
              <w:rPr>
                <w:rFonts w:hint="eastAsia" w:ascii="宋体" w:hAnsi="宋体" w:eastAsia="宋体" w:cs="宋体"/>
                <w:color w:val="000000"/>
                <w:kern w:val="0"/>
                <w:sz w:val="18"/>
                <w:szCs w:val="18"/>
                <w:lang w:val="en-US" w:eastAsia="zh-CN"/>
              </w:rPr>
              <w:t>缓解交通压力，维护市容秩序，助力文明创建，促进全民健身。</w:t>
            </w:r>
          </w:p>
        </w:tc>
        <w:tc>
          <w:tcPr>
            <w:tcW w:w="992" w:type="dxa"/>
            <w:vAlign w:val="center"/>
          </w:tcPr>
          <w:p w14:paraId="76FBD638">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lang w:val="en-US" w:eastAsia="zh-CN"/>
              </w:rPr>
              <w:t>10</w:t>
            </w:r>
          </w:p>
        </w:tc>
        <w:tc>
          <w:tcPr>
            <w:tcW w:w="992" w:type="dxa"/>
            <w:vAlign w:val="center"/>
          </w:tcPr>
          <w:p w14:paraId="42D42EED">
            <w:pPr>
              <w:pStyle w:val="12"/>
              <w:keepNext w:val="0"/>
              <w:keepLines w:val="0"/>
              <w:suppressLineNumbers w:val="0"/>
              <w:spacing w:before="0" w:beforeAutospacing="0" w:after="0" w:afterAutospacing="0"/>
              <w:ind w:left="0" w:right="0"/>
              <w:jc w:val="center"/>
              <w:rPr>
                <w:rFonts w:hint="default" w:ascii="Times New Roman"/>
                <w:sz w:val="26"/>
              </w:rPr>
            </w:pPr>
          </w:p>
        </w:tc>
      </w:tr>
      <w:tr w14:paraId="15AD9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787" w:type="dxa"/>
            <w:vAlign w:val="center"/>
          </w:tcPr>
          <w:p w14:paraId="13D5C8D4">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8</w:t>
            </w:r>
          </w:p>
        </w:tc>
        <w:tc>
          <w:tcPr>
            <w:tcW w:w="1173" w:type="dxa"/>
            <w:vAlign w:val="center"/>
          </w:tcPr>
          <w:p w14:paraId="0A8D82C3">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rPr>
              <w:t>效益指标</w:t>
            </w:r>
          </w:p>
        </w:tc>
        <w:tc>
          <w:tcPr>
            <w:tcW w:w="1199" w:type="dxa"/>
            <w:vAlign w:val="center"/>
          </w:tcPr>
          <w:p w14:paraId="16DCA83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生态效益</w:t>
            </w:r>
          </w:p>
          <w:p w14:paraId="2DDA207C">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指标</w:t>
            </w:r>
          </w:p>
        </w:tc>
        <w:tc>
          <w:tcPr>
            <w:tcW w:w="1132" w:type="dxa"/>
            <w:vAlign w:val="center"/>
          </w:tcPr>
          <w:p w14:paraId="31DADC76">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维护生态环境。</w:t>
            </w:r>
          </w:p>
        </w:tc>
        <w:tc>
          <w:tcPr>
            <w:tcW w:w="1199" w:type="dxa"/>
            <w:vAlign w:val="center"/>
          </w:tcPr>
          <w:p w14:paraId="0C6BBD74">
            <w:pPr>
              <w:keepNext w:val="0"/>
              <w:keepLines w:val="0"/>
              <w:suppressLineNumbers w:val="0"/>
              <w:spacing w:before="0" w:beforeAutospacing="0" w:after="0" w:afterAutospacing="0"/>
              <w:ind w:left="0" w:right="0"/>
              <w:jc w:val="center"/>
              <w:rPr>
                <w:rFonts w:hint="eastAsia" w:ascii="Times New Roman" w:eastAsiaTheme="minorEastAsia"/>
                <w:sz w:val="26"/>
                <w:lang w:val="en-US" w:eastAsia="zh-CN"/>
              </w:rPr>
            </w:pPr>
            <w:r>
              <w:rPr>
                <w:rFonts w:hint="eastAsia" w:ascii="Times New Roman"/>
                <w:sz w:val="26"/>
                <w:lang w:val="en-US" w:eastAsia="zh-CN"/>
              </w:rPr>
              <w:t>5</w:t>
            </w:r>
          </w:p>
        </w:tc>
        <w:tc>
          <w:tcPr>
            <w:tcW w:w="6498" w:type="dxa"/>
            <w:vAlign w:val="center"/>
          </w:tcPr>
          <w:p w14:paraId="2D9D31B0">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lang w:eastAsia="zh-CN"/>
              </w:rPr>
              <w:t>减少二氧化碳排放</w:t>
            </w:r>
            <w:r>
              <w:rPr>
                <w:rFonts w:hint="eastAsia" w:ascii="宋体" w:hAnsi="宋体" w:eastAsia="宋体" w:cs="宋体"/>
                <w:kern w:val="0"/>
                <w:sz w:val="18"/>
                <w:szCs w:val="18"/>
                <w:lang w:val="en-US" w:eastAsia="zh-CN"/>
              </w:rPr>
              <w:t>1000吨，保护生态环境。</w:t>
            </w:r>
          </w:p>
        </w:tc>
        <w:tc>
          <w:tcPr>
            <w:tcW w:w="992" w:type="dxa"/>
            <w:vAlign w:val="center"/>
          </w:tcPr>
          <w:p w14:paraId="0C2CEAD4">
            <w:pPr>
              <w:keepNext w:val="0"/>
              <w:keepLines w:val="0"/>
              <w:suppressLineNumbers w:val="0"/>
              <w:spacing w:before="0" w:beforeAutospacing="0" w:after="0" w:afterAutospacing="0"/>
              <w:ind w:left="0" w:right="0"/>
              <w:jc w:val="center"/>
              <w:rPr>
                <w:rFonts w:hint="eastAsia" w:ascii="Times New Roman" w:eastAsiaTheme="minorEastAsia"/>
                <w:sz w:val="26"/>
                <w:lang w:val="en-US" w:eastAsia="zh-CN"/>
              </w:rPr>
            </w:pPr>
            <w:r>
              <w:rPr>
                <w:rFonts w:hint="eastAsia" w:ascii="Times New Roman"/>
                <w:sz w:val="26"/>
                <w:lang w:val="en-US" w:eastAsia="zh-CN"/>
              </w:rPr>
              <w:t>5</w:t>
            </w:r>
          </w:p>
        </w:tc>
        <w:tc>
          <w:tcPr>
            <w:tcW w:w="992" w:type="dxa"/>
            <w:vAlign w:val="center"/>
          </w:tcPr>
          <w:p w14:paraId="633F0285">
            <w:pPr>
              <w:pStyle w:val="12"/>
              <w:keepNext w:val="0"/>
              <w:keepLines w:val="0"/>
              <w:suppressLineNumbers w:val="0"/>
              <w:spacing w:before="0" w:beforeAutospacing="0" w:after="0" w:afterAutospacing="0"/>
              <w:ind w:left="0" w:right="0"/>
              <w:jc w:val="center"/>
              <w:rPr>
                <w:rFonts w:hint="default" w:ascii="Times New Roman"/>
                <w:sz w:val="26"/>
              </w:rPr>
            </w:pPr>
          </w:p>
        </w:tc>
      </w:tr>
      <w:tr w14:paraId="09FD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14:paraId="00AC6F7A">
            <w:pPr>
              <w:pStyle w:val="12"/>
              <w:keepNext w:val="0"/>
              <w:keepLines w:val="0"/>
              <w:suppressLineNumbers w:val="0"/>
              <w:spacing w:before="0" w:beforeAutospacing="0" w:after="0" w:afterAutospacing="0"/>
              <w:ind w:left="0" w:right="0"/>
              <w:jc w:val="center"/>
              <w:rPr>
                <w:rFonts w:hint="eastAsia" w:ascii="Times New Roman" w:eastAsia="宋体"/>
                <w:sz w:val="26"/>
                <w:lang w:val="en-US" w:eastAsia="zh-CN"/>
              </w:rPr>
            </w:pPr>
            <w:r>
              <w:rPr>
                <w:rFonts w:hint="eastAsia" w:ascii="Times New Roman"/>
                <w:sz w:val="26"/>
                <w:lang w:val="en-US" w:eastAsia="zh-CN"/>
              </w:rPr>
              <w:t>9</w:t>
            </w:r>
          </w:p>
        </w:tc>
        <w:tc>
          <w:tcPr>
            <w:tcW w:w="1173" w:type="dxa"/>
            <w:vAlign w:val="center"/>
          </w:tcPr>
          <w:p w14:paraId="451C0AC9">
            <w:pPr>
              <w:keepNext w:val="0"/>
              <w:keepLines w:val="0"/>
              <w:suppressLineNumbers w:val="0"/>
              <w:spacing w:before="0" w:beforeAutospacing="0" w:after="0" w:afterAutospacing="0"/>
              <w:ind w:left="0" w:right="0"/>
              <w:jc w:val="center"/>
              <w:rPr>
                <w:rFonts w:hint="default" w:ascii="Times New Roman"/>
                <w:sz w:val="26"/>
              </w:rPr>
            </w:pPr>
            <w:r>
              <w:rPr>
                <w:rFonts w:hint="eastAsia" w:ascii="宋体" w:hAnsi="宋体" w:eastAsia="宋体" w:cs="宋体"/>
                <w:kern w:val="0"/>
                <w:sz w:val="18"/>
                <w:szCs w:val="18"/>
              </w:rPr>
              <w:t>效益指标</w:t>
            </w:r>
          </w:p>
        </w:tc>
        <w:tc>
          <w:tcPr>
            <w:tcW w:w="1199" w:type="dxa"/>
            <w:vAlign w:val="center"/>
          </w:tcPr>
          <w:p w14:paraId="23265575">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可持续影响指标</w:t>
            </w:r>
          </w:p>
        </w:tc>
        <w:tc>
          <w:tcPr>
            <w:tcW w:w="1132" w:type="dxa"/>
            <w:vAlign w:val="center"/>
          </w:tcPr>
          <w:p w14:paraId="048EC836">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lang w:eastAsia="zh-CN"/>
              </w:rPr>
              <w:t>持续发展。</w:t>
            </w:r>
          </w:p>
        </w:tc>
        <w:tc>
          <w:tcPr>
            <w:tcW w:w="1199" w:type="dxa"/>
            <w:vAlign w:val="center"/>
          </w:tcPr>
          <w:p w14:paraId="266EB819">
            <w:pPr>
              <w:keepNext w:val="0"/>
              <w:keepLines w:val="0"/>
              <w:suppressLineNumbers w:val="0"/>
              <w:spacing w:before="0" w:beforeAutospacing="0" w:after="0" w:afterAutospacing="0"/>
              <w:ind w:left="0" w:right="0"/>
              <w:jc w:val="center"/>
              <w:rPr>
                <w:rFonts w:hint="eastAsia" w:ascii="Times New Roman" w:eastAsiaTheme="minorEastAsia"/>
                <w:sz w:val="26"/>
                <w:lang w:val="en-US" w:eastAsia="zh-CN"/>
              </w:rPr>
            </w:pPr>
            <w:r>
              <w:rPr>
                <w:rFonts w:hint="eastAsia" w:ascii="Times New Roman"/>
                <w:sz w:val="26"/>
                <w:lang w:val="en-US" w:eastAsia="zh-CN"/>
              </w:rPr>
              <w:t>5</w:t>
            </w:r>
          </w:p>
        </w:tc>
        <w:tc>
          <w:tcPr>
            <w:tcW w:w="6498" w:type="dxa"/>
            <w:vAlign w:val="center"/>
          </w:tcPr>
          <w:p w14:paraId="0FDF9135">
            <w:pPr>
              <w:keepNext w:val="0"/>
              <w:keepLines w:val="0"/>
              <w:widowControl/>
              <w:suppressLineNumbers w:val="0"/>
              <w:spacing w:before="0" w:beforeAutospacing="0" w:after="0" w:afterAutospacing="0" w:line="240" w:lineRule="exact"/>
              <w:ind w:left="0" w:leftChars="0" w:right="0" w:rightChars="0"/>
              <w:jc w:val="both"/>
              <w:rPr>
                <w:rFonts w:hint="default" w:ascii="Times New Roman"/>
                <w:sz w:val="26"/>
              </w:rPr>
            </w:pPr>
            <w:r>
              <w:rPr>
                <w:rFonts w:hint="eastAsia" w:ascii="宋体" w:hAnsi="宋体" w:eastAsia="宋体" w:cs="宋体"/>
                <w:kern w:val="0"/>
                <w:sz w:val="18"/>
                <w:szCs w:val="18"/>
                <w:lang w:eastAsia="zh-CN"/>
              </w:rPr>
              <w:t>后续运行、成效发挥可储蓄影响较好。</w:t>
            </w:r>
          </w:p>
        </w:tc>
        <w:tc>
          <w:tcPr>
            <w:tcW w:w="992" w:type="dxa"/>
            <w:vAlign w:val="center"/>
          </w:tcPr>
          <w:p w14:paraId="52C710DA">
            <w:pPr>
              <w:keepNext w:val="0"/>
              <w:keepLines w:val="0"/>
              <w:suppressLineNumbers w:val="0"/>
              <w:spacing w:before="0" w:beforeAutospacing="0" w:after="0" w:afterAutospacing="0"/>
              <w:ind w:left="0" w:right="0"/>
              <w:jc w:val="center"/>
              <w:rPr>
                <w:rFonts w:hint="eastAsia" w:ascii="Times New Roman" w:eastAsiaTheme="minorEastAsia"/>
                <w:sz w:val="26"/>
                <w:lang w:val="en-US" w:eastAsia="zh-CN"/>
              </w:rPr>
            </w:pPr>
            <w:r>
              <w:rPr>
                <w:rFonts w:hint="eastAsia" w:ascii="宋体" w:hAnsi="宋体" w:eastAsia="宋体" w:cs="宋体"/>
                <w:kern w:val="0"/>
                <w:sz w:val="18"/>
                <w:szCs w:val="18"/>
                <w:lang w:val="en-US" w:eastAsia="zh-CN" w:bidi="ar-SA"/>
              </w:rPr>
              <w:t>4</w:t>
            </w:r>
          </w:p>
        </w:tc>
        <w:tc>
          <w:tcPr>
            <w:tcW w:w="992" w:type="dxa"/>
            <w:vAlign w:val="center"/>
          </w:tcPr>
          <w:p w14:paraId="6CA9C095">
            <w:pPr>
              <w:pStyle w:val="12"/>
              <w:keepNext w:val="0"/>
              <w:keepLines w:val="0"/>
              <w:suppressLineNumbers w:val="0"/>
              <w:spacing w:before="0" w:beforeAutospacing="0" w:after="0" w:afterAutospacing="0"/>
              <w:ind w:left="0" w:right="0"/>
              <w:jc w:val="center"/>
              <w:rPr>
                <w:rFonts w:hint="default" w:ascii="Times New Roman"/>
                <w:sz w:val="26"/>
              </w:rPr>
            </w:pPr>
          </w:p>
        </w:tc>
      </w:tr>
      <w:tr w14:paraId="648C0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68426A5B">
            <w:pPr>
              <w:pStyle w:val="12"/>
              <w:keepNext w:val="0"/>
              <w:keepLines w:val="0"/>
              <w:suppressLineNumbers w:val="0"/>
              <w:spacing w:before="0" w:beforeAutospacing="0" w:after="0" w:afterAutospacing="0"/>
              <w:ind w:left="0" w:right="0"/>
              <w:jc w:val="center"/>
              <w:rPr>
                <w:rFonts w:hint="default" w:ascii="Times New Roman" w:eastAsia="宋体"/>
                <w:sz w:val="26"/>
                <w:lang w:val="en-US" w:eastAsia="zh-CN"/>
              </w:rPr>
            </w:pPr>
            <w:r>
              <w:rPr>
                <w:rFonts w:hint="eastAsia" w:ascii="Times New Roman"/>
                <w:sz w:val="26"/>
                <w:lang w:val="en-US" w:eastAsia="zh-CN"/>
              </w:rPr>
              <w:t>10</w:t>
            </w:r>
          </w:p>
        </w:tc>
        <w:tc>
          <w:tcPr>
            <w:tcW w:w="1173" w:type="dxa"/>
            <w:vAlign w:val="center"/>
          </w:tcPr>
          <w:p w14:paraId="62232AF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满意度</w:t>
            </w:r>
          </w:p>
          <w:p w14:paraId="2A9D3E46">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指标</w:t>
            </w:r>
          </w:p>
        </w:tc>
        <w:tc>
          <w:tcPr>
            <w:tcW w:w="1199" w:type="dxa"/>
            <w:vAlign w:val="center"/>
          </w:tcPr>
          <w:p w14:paraId="3918C78A">
            <w:pPr>
              <w:keepNext w:val="0"/>
              <w:keepLines w:val="0"/>
              <w:widowControl/>
              <w:suppressLineNumbers w:val="0"/>
              <w:spacing w:before="0" w:beforeAutospacing="0" w:after="0" w:afterAutospacing="0" w:line="240" w:lineRule="exact"/>
              <w:ind w:left="0" w:leftChars="0" w:right="0" w:rightChars="0"/>
              <w:jc w:val="center"/>
              <w:rPr>
                <w:rFonts w:hint="default" w:ascii="Times New Roman"/>
                <w:sz w:val="26"/>
              </w:rPr>
            </w:pPr>
            <w:r>
              <w:rPr>
                <w:rFonts w:hint="eastAsia" w:ascii="宋体" w:hAnsi="宋体" w:eastAsia="宋体" w:cs="宋体"/>
                <w:kern w:val="0"/>
                <w:sz w:val="18"/>
                <w:szCs w:val="18"/>
              </w:rPr>
              <w:t>服务对象满意度指标</w:t>
            </w:r>
          </w:p>
        </w:tc>
        <w:tc>
          <w:tcPr>
            <w:tcW w:w="1132" w:type="dxa"/>
            <w:vAlign w:val="center"/>
          </w:tcPr>
          <w:p w14:paraId="6F20B044">
            <w:pPr>
              <w:keepNext w:val="0"/>
              <w:keepLines w:val="0"/>
              <w:widowControl/>
              <w:suppressLineNumbers w:val="0"/>
              <w:spacing w:before="0" w:beforeAutospacing="0" w:after="0" w:afterAutospacing="0" w:line="240" w:lineRule="exact"/>
              <w:ind w:left="0" w:leftChars="0" w:right="0" w:rightChars="0"/>
              <w:jc w:val="left"/>
              <w:rPr>
                <w:rFonts w:hint="default" w:ascii="Times New Roman"/>
                <w:sz w:val="26"/>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群众满意度</w:t>
            </w:r>
          </w:p>
        </w:tc>
        <w:tc>
          <w:tcPr>
            <w:tcW w:w="1199" w:type="dxa"/>
            <w:vAlign w:val="center"/>
          </w:tcPr>
          <w:p w14:paraId="621FC555">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r>
              <w:rPr>
                <w:rFonts w:hint="eastAsia" w:cs="宋体"/>
                <w:kern w:val="0"/>
                <w:sz w:val="18"/>
                <w:szCs w:val="18"/>
                <w:lang w:val="en-US" w:eastAsia="zh-CN" w:bidi="ar-SA"/>
              </w:rPr>
              <w:t>20</w:t>
            </w:r>
          </w:p>
        </w:tc>
        <w:tc>
          <w:tcPr>
            <w:tcW w:w="6498" w:type="dxa"/>
            <w:vAlign w:val="center"/>
          </w:tcPr>
          <w:p w14:paraId="4E693FE4">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100%</w:t>
            </w:r>
          </w:p>
        </w:tc>
        <w:tc>
          <w:tcPr>
            <w:tcW w:w="992" w:type="dxa"/>
            <w:vAlign w:val="center"/>
          </w:tcPr>
          <w:p w14:paraId="100D4F15">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r>
              <w:rPr>
                <w:rFonts w:hint="eastAsia" w:cs="宋体"/>
                <w:kern w:val="0"/>
                <w:sz w:val="18"/>
                <w:szCs w:val="18"/>
                <w:lang w:val="en-US" w:eastAsia="zh-CN" w:bidi="ar-SA"/>
              </w:rPr>
              <w:t>20</w:t>
            </w:r>
          </w:p>
        </w:tc>
        <w:tc>
          <w:tcPr>
            <w:tcW w:w="992" w:type="dxa"/>
            <w:vAlign w:val="center"/>
          </w:tcPr>
          <w:p w14:paraId="21ECB864">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r>
      <w:tr w14:paraId="7CC66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4291" w:type="dxa"/>
            <w:gridSpan w:val="4"/>
          </w:tcPr>
          <w:p w14:paraId="4569AB52">
            <w:pPr>
              <w:pStyle w:val="12"/>
              <w:keepNext w:val="0"/>
              <w:keepLines w:val="0"/>
              <w:suppressLineNumbers w:val="0"/>
              <w:spacing w:before="10" w:beforeAutospacing="0" w:after="0" w:afterAutospacing="0"/>
              <w:ind w:left="0" w:right="0"/>
              <w:rPr>
                <w:rFonts w:hint="default"/>
                <w:b/>
                <w:sz w:val="16"/>
              </w:rPr>
            </w:pPr>
          </w:p>
          <w:p w14:paraId="66230374">
            <w:pPr>
              <w:pStyle w:val="12"/>
              <w:keepNext w:val="0"/>
              <w:keepLines w:val="0"/>
              <w:suppressLineNumbers w:val="0"/>
              <w:spacing w:before="0" w:beforeAutospacing="0" w:after="0" w:afterAutospacing="0"/>
              <w:ind w:left="1914" w:right="1875"/>
              <w:jc w:val="center"/>
              <w:rPr>
                <w:rFonts w:hint="default"/>
                <w:b/>
                <w:sz w:val="22"/>
              </w:rPr>
            </w:pPr>
            <w:r>
              <w:rPr>
                <w:rFonts w:hint="default"/>
                <w:b/>
                <w:sz w:val="22"/>
              </w:rPr>
              <w:t>合计</w:t>
            </w:r>
          </w:p>
        </w:tc>
        <w:tc>
          <w:tcPr>
            <w:tcW w:w="1199" w:type="dxa"/>
            <w:vAlign w:val="center"/>
          </w:tcPr>
          <w:p w14:paraId="314216FB">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100</w:t>
            </w:r>
          </w:p>
        </w:tc>
        <w:tc>
          <w:tcPr>
            <w:tcW w:w="6498" w:type="dxa"/>
            <w:vAlign w:val="center"/>
          </w:tcPr>
          <w:p w14:paraId="6E7CCD4A">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992" w:type="dxa"/>
            <w:vAlign w:val="center"/>
          </w:tcPr>
          <w:p w14:paraId="088E65A1">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r>
              <w:rPr>
                <w:rFonts w:hint="eastAsia" w:cs="宋体"/>
                <w:kern w:val="0"/>
                <w:sz w:val="18"/>
                <w:szCs w:val="18"/>
                <w:lang w:val="en-US" w:eastAsia="zh-CN" w:bidi="ar-SA"/>
              </w:rPr>
              <w:t>99</w:t>
            </w:r>
          </w:p>
        </w:tc>
        <w:tc>
          <w:tcPr>
            <w:tcW w:w="992" w:type="dxa"/>
            <w:vAlign w:val="center"/>
          </w:tcPr>
          <w:p w14:paraId="1890474E">
            <w:pPr>
              <w:pStyle w:val="12"/>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r>
    </w:tbl>
    <w:p w14:paraId="16F29CF2"/>
    <w:sectPr>
      <w:footerReference r:id="rId5" w:type="default"/>
      <w:pgSz w:w="16838" w:h="11911" w:orient="landscape"/>
      <w:pgMar w:top="1480" w:right="1582" w:bottom="1417" w:left="1582" w:header="0" w:footer="1383" w:gutter="0"/>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6C89">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2654935</wp:posOffset>
              </wp:positionH>
              <wp:positionV relativeFrom="paragraph">
                <wp:posOffset>-85725</wp:posOffset>
              </wp:positionV>
              <wp:extent cx="314325" cy="324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4325"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0FAD1">
                          <w:pPr>
                            <w:pStyle w:val="5"/>
                            <w:rPr>
                              <w:rFonts w:hint="eastAsia" w:eastAsiaTheme="minorEastAsia"/>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05pt;margin-top:-6.75pt;height:25.55pt;width:24.75pt;mso-position-horizontal-relative:margin;z-index:251661312;mso-width-relative:page;mso-height-relative:page;" filled="f" stroked="f" coordsize="21600,21600" o:gfxdata="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Ye3UNkAAAAKAQAADwAAAAAAAAABACAAAAAiAAAAZHJzL2Rv&#10;d25yZXYueG1sUEsBAhQAFAAAAAgAh07iQH1QEmc5AgAAYQQAAA4AAAAAAAAAAQAgAAAAKAEAAGRy&#10;cy9lMm9Eb2MueG1sUEsFBgAAAAAGAAYAWQEAANMFAAAAAA==&#10;">
              <v:fill on="f" focussize="0,0"/>
              <v:stroke on="f" weight="0.5pt"/>
              <v:imagedata o:title=""/>
              <o:lock v:ext="edit" aspectratio="f"/>
              <v:textbox inset="0mm,0mm,0mm,0mm">
                <w:txbxContent>
                  <w:p w14:paraId="16B0FAD1">
                    <w:pPr>
                      <w:pStyle w:val="5"/>
                      <w:rPr>
                        <w:rFonts w:hint="eastAsia" w:eastAsiaTheme="minorEastAsia"/>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B112">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5154930</wp:posOffset>
              </wp:positionH>
              <wp:positionV relativeFrom="page">
                <wp:posOffset>6828790</wp:posOffset>
              </wp:positionV>
              <wp:extent cx="38100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000" cy="203200"/>
                      </a:xfrm>
                      <a:prstGeom prst="rect">
                        <a:avLst/>
                      </a:prstGeom>
                      <a:noFill/>
                      <a:ln>
                        <a:noFill/>
                      </a:ln>
                    </wps:spPr>
                    <wps:txbx>
                      <w:txbxContent>
                        <w:p w14:paraId="2A11C2AA">
                          <w:pPr>
                            <w:spacing w:before="0" w:line="32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29</w:t>
                          </w:r>
                          <w:r>
                            <w:fldChar w:fldCharType="end"/>
                          </w:r>
                          <w:r>
                            <w:rPr>
                              <w:rFonts w:ascii="宋体"/>
                              <w:sz w:val="28"/>
                            </w:rPr>
                            <w:t>-</w:t>
                          </w:r>
                        </w:p>
                      </w:txbxContent>
                    </wps:txbx>
                    <wps:bodyPr lIns="0" tIns="0" rIns="0" bIns="0" upright="1"/>
                  </wps:wsp>
                </a:graphicData>
              </a:graphic>
            </wp:anchor>
          </w:drawing>
        </mc:Choice>
        <mc:Fallback>
          <w:pict>
            <v:shape id="_x0000_s1026" o:spid="_x0000_s1026" o:spt="202" type="#_x0000_t202" style="position:absolute;left:0pt;margin-left:405.9pt;margin-top:537.7pt;height:16pt;width:30pt;mso-position-horizontal-relative:page;mso-position-vertical-relative:page;z-index:-251657216;mso-width-relative:page;mso-height-relative:page;" filled="f" stroked="f" coordsize="21600,21600" o:gfxdata="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QmqN2QAAAA0BAAAPAAAAAAAAAAEAIAAAACIAAABkcnMvZG93bnJldi54bWxQSwECFAAU&#10;AAAACACHTuJAyF5GHLcBAABxAwAADgAAAAAAAAABACAAAAAoAQAAZHJzL2Uyb0RvYy54bWxQSwUG&#10;AAAAAAYABgBZAQAAUQUAAAAA&#10;">
              <v:fill on="f" focussize="0,0"/>
              <v:stroke on="f"/>
              <v:imagedata o:title=""/>
              <o:lock v:ext="edit" aspectratio="f"/>
              <v:textbox inset="0mm,0mm,0mm,0mm">
                <w:txbxContent>
                  <w:p w14:paraId="2A11C2AA">
                    <w:pPr>
                      <w:spacing w:before="0" w:line="32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29</w:t>
                    </w:r>
                    <w:r>
                      <w:fldChar w:fldCharType="end"/>
                    </w:r>
                    <w:r>
                      <w:rPr>
                        <w:rFonts w:asci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0451">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5154930</wp:posOffset>
              </wp:positionH>
              <wp:positionV relativeFrom="page">
                <wp:posOffset>6828790</wp:posOffset>
              </wp:positionV>
              <wp:extent cx="3810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1000" cy="203200"/>
                      </a:xfrm>
                      <a:prstGeom prst="rect">
                        <a:avLst/>
                      </a:prstGeom>
                      <a:noFill/>
                      <a:ln>
                        <a:noFill/>
                      </a:ln>
                    </wps:spPr>
                    <wps:txbx>
                      <w:txbxContent>
                        <w:p w14:paraId="34566C67">
                          <w:pPr>
                            <w:spacing w:before="0" w:line="32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31</w:t>
                          </w:r>
                          <w:r>
                            <w:fldChar w:fldCharType="end"/>
                          </w:r>
                          <w:r>
                            <w:rPr>
                              <w:rFonts w:ascii="宋体"/>
                              <w:sz w:val="28"/>
                            </w:rPr>
                            <w:t>-</w:t>
                          </w:r>
                        </w:p>
                      </w:txbxContent>
                    </wps:txbx>
                    <wps:bodyPr lIns="0" tIns="0" rIns="0" bIns="0" upright="1"/>
                  </wps:wsp>
                </a:graphicData>
              </a:graphic>
            </wp:anchor>
          </w:drawing>
        </mc:Choice>
        <mc:Fallback>
          <w:pict>
            <v:shape id="_x0000_s1026" o:spid="_x0000_s1026" o:spt="202" type="#_x0000_t202" style="position:absolute;left:0pt;margin-left:405.9pt;margin-top:537.7pt;height:16pt;width:30pt;mso-position-horizontal-relative:page;mso-position-vertical-relative:page;z-index:-251656192;mso-width-relative:page;mso-height-relative:page;" filled="f" stroked="f" coordsize="21600,21600" o:gfxdata="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0JqjdkAAAANAQAADwAAAAAAAAABACAAAAAiAAAAZHJzL2Rvd25yZXYueG1sUEsBAhQA&#10;FAAAAAgAh07iQJZKTSK4AQAAcQMAAA4AAAAAAAAAAQAgAAAAKAEAAGRycy9lMm9Eb2MueG1sUEsF&#10;BgAAAAAGAAYAWQEAAFIFAAAAAA==&#10;">
              <v:fill on="f" focussize="0,0"/>
              <v:stroke on="f"/>
              <v:imagedata o:title=""/>
              <o:lock v:ext="edit" aspectratio="f"/>
              <v:textbox inset="0mm,0mm,0mm,0mm">
                <w:txbxContent>
                  <w:p w14:paraId="34566C67">
                    <w:pPr>
                      <w:spacing w:before="0" w:line="320"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31</w:t>
                    </w:r>
                    <w:r>
                      <w:fldChar w:fldCharType="end"/>
                    </w:r>
                    <w:r>
                      <w:rPr>
                        <w:rFonts w:ascii="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85629"/>
    <w:multiLevelType w:val="singleLevel"/>
    <w:tmpl w:val="7928562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10"/>
  <w:drawingGridVerticalSpacing w:val="999999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3288243A"/>
    <w:rsid w:val="02032456"/>
    <w:rsid w:val="0241242E"/>
    <w:rsid w:val="056A4F58"/>
    <w:rsid w:val="06CB09B2"/>
    <w:rsid w:val="075C3112"/>
    <w:rsid w:val="07A31495"/>
    <w:rsid w:val="07BB67DE"/>
    <w:rsid w:val="0874513E"/>
    <w:rsid w:val="087A4428"/>
    <w:rsid w:val="09383E5F"/>
    <w:rsid w:val="09586DDC"/>
    <w:rsid w:val="0A08646A"/>
    <w:rsid w:val="0B126B8F"/>
    <w:rsid w:val="0C3873A8"/>
    <w:rsid w:val="0D0E1022"/>
    <w:rsid w:val="0F922A2D"/>
    <w:rsid w:val="0FA826FB"/>
    <w:rsid w:val="0FD75BE1"/>
    <w:rsid w:val="10386C4E"/>
    <w:rsid w:val="11A37B3F"/>
    <w:rsid w:val="11D41346"/>
    <w:rsid w:val="125F6FC1"/>
    <w:rsid w:val="135A4A7C"/>
    <w:rsid w:val="142F254E"/>
    <w:rsid w:val="143C7812"/>
    <w:rsid w:val="14937361"/>
    <w:rsid w:val="14982C80"/>
    <w:rsid w:val="15357EA3"/>
    <w:rsid w:val="159266A5"/>
    <w:rsid w:val="159F2413"/>
    <w:rsid w:val="171B3744"/>
    <w:rsid w:val="18161A9F"/>
    <w:rsid w:val="181A120E"/>
    <w:rsid w:val="18366A3A"/>
    <w:rsid w:val="189A5F9C"/>
    <w:rsid w:val="18D04380"/>
    <w:rsid w:val="18EA6F23"/>
    <w:rsid w:val="191B5A1E"/>
    <w:rsid w:val="19D454DE"/>
    <w:rsid w:val="1A756CC1"/>
    <w:rsid w:val="1AE9320B"/>
    <w:rsid w:val="1BA33377"/>
    <w:rsid w:val="1BC33A5C"/>
    <w:rsid w:val="1C1F161B"/>
    <w:rsid w:val="1C4050AC"/>
    <w:rsid w:val="1CF631E4"/>
    <w:rsid w:val="1DF86720"/>
    <w:rsid w:val="1E4B70F1"/>
    <w:rsid w:val="1E6B5FCE"/>
    <w:rsid w:val="1ED63042"/>
    <w:rsid w:val="1F743F54"/>
    <w:rsid w:val="1FE22078"/>
    <w:rsid w:val="2128520B"/>
    <w:rsid w:val="220B7F0B"/>
    <w:rsid w:val="221A2553"/>
    <w:rsid w:val="22D4654E"/>
    <w:rsid w:val="235B32DD"/>
    <w:rsid w:val="24D87664"/>
    <w:rsid w:val="24EF6733"/>
    <w:rsid w:val="255C2002"/>
    <w:rsid w:val="25BB6C67"/>
    <w:rsid w:val="25C44658"/>
    <w:rsid w:val="260C41AE"/>
    <w:rsid w:val="267E1A3F"/>
    <w:rsid w:val="26FA5383"/>
    <w:rsid w:val="273A02F7"/>
    <w:rsid w:val="274D124C"/>
    <w:rsid w:val="28582AA5"/>
    <w:rsid w:val="2A4068C4"/>
    <w:rsid w:val="2C8C5924"/>
    <w:rsid w:val="2D3A16A4"/>
    <w:rsid w:val="2E1B14D5"/>
    <w:rsid w:val="2EE55756"/>
    <w:rsid w:val="317D1F4C"/>
    <w:rsid w:val="3288243A"/>
    <w:rsid w:val="32A63351"/>
    <w:rsid w:val="35E06788"/>
    <w:rsid w:val="36AB192D"/>
    <w:rsid w:val="36DE7CD7"/>
    <w:rsid w:val="376965E3"/>
    <w:rsid w:val="391D07F7"/>
    <w:rsid w:val="3A5D2417"/>
    <w:rsid w:val="3ABA5D47"/>
    <w:rsid w:val="3AC727C9"/>
    <w:rsid w:val="3ACA6963"/>
    <w:rsid w:val="3B4A3F00"/>
    <w:rsid w:val="3C1B6D06"/>
    <w:rsid w:val="3CA751BA"/>
    <w:rsid w:val="3D076B25"/>
    <w:rsid w:val="3F5D36FC"/>
    <w:rsid w:val="3FB37012"/>
    <w:rsid w:val="401A4E14"/>
    <w:rsid w:val="40880C4C"/>
    <w:rsid w:val="41E83459"/>
    <w:rsid w:val="42FD3334"/>
    <w:rsid w:val="436D4633"/>
    <w:rsid w:val="43C55DEE"/>
    <w:rsid w:val="43E73EDC"/>
    <w:rsid w:val="45271FE2"/>
    <w:rsid w:val="458D2861"/>
    <w:rsid w:val="45DD5596"/>
    <w:rsid w:val="46B02F47"/>
    <w:rsid w:val="4764410D"/>
    <w:rsid w:val="47906638"/>
    <w:rsid w:val="494616A5"/>
    <w:rsid w:val="498C6FF4"/>
    <w:rsid w:val="49951CE4"/>
    <w:rsid w:val="4A0F4ACF"/>
    <w:rsid w:val="4CFF07A4"/>
    <w:rsid w:val="4EA67F10"/>
    <w:rsid w:val="4F485914"/>
    <w:rsid w:val="4FF9121F"/>
    <w:rsid w:val="505812B9"/>
    <w:rsid w:val="508D7BB9"/>
    <w:rsid w:val="50E22ECD"/>
    <w:rsid w:val="51A742B0"/>
    <w:rsid w:val="51FC4124"/>
    <w:rsid w:val="527C6137"/>
    <w:rsid w:val="539B3A63"/>
    <w:rsid w:val="547057D6"/>
    <w:rsid w:val="54EB7979"/>
    <w:rsid w:val="54F4587E"/>
    <w:rsid w:val="54FD4030"/>
    <w:rsid w:val="554442DF"/>
    <w:rsid w:val="559B68D4"/>
    <w:rsid w:val="56031A0C"/>
    <w:rsid w:val="56C40A7A"/>
    <w:rsid w:val="56F84900"/>
    <w:rsid w:val="57EA082F"/>
    <w:rsid w:val="58355302"/>
    <w:rsid w:val="591A7788"/>
    <w:rsid w:val="5A184B41"/>
    <w:rsid w:val="5A234028"/>
    <w:rsid w:val="5A427419"/>
    <w:rsid w:val="5CA86DC6"/>
    <w:rsid w:val="5CEC4166"/>
    <w:rsid w:val="5D7E2D63"/>
    <w:rsid w:val="5E727091"/>
    <w:rsid w:val="5E904201"/>
    <w:rsid w:val="5EE77501"/>
    <w:rsid w:val="5FB567E4"/>
    <w:rsid w:val="60A73B8C"/>
    <w:rsid w:val="615C160D"/>
    <w:rsid w:val="616B06AB"/>
    <w:rsid w:val="61AA4F23"/>
    <w:rsid w:val="63CE5A42"/>
    <w:rsid w:val="66884C53"/>
    <w:rsid w:val="67957627"/>
    <w:rsid w:val="682B0B96"/>
    <w:rsid w:val="685369CB"/>
    <w:rsid w:val="696718D5"/>
    <w:rsid w:val="69F93160"/>
    <w:rsid w:val="6B39651C"/>
    <w:rsid w:val="6B6C6C89"/>
    <w:rsid w:val="6BA75B7B"/>
    <w:rsid w:val="6C6419AF"/>
    <w:rsid w:val="6D7E46BA"/>
    <w:rsid w:val="6F03131A"/>
    <w:rsid w:val="6F1C418A"/>
    <w:rsid w:val="704722C9"/>
    <w:rsid w:val="71050809"/>
    <w:rsid w:val="71865493"/>
    <w:rsid w:val="72600832"/>
    <w:rsid w:val="74022428"/>
    <w:rsid w:val="742A10F7"/>
    <w:rsid w:val="75FE3C40"/>
    <w:rsid w:val="76302D15"/>
    <w:rsid w:val="76A502E8"/>
    <w:rsid w:val="778422CE"/>
    <w:rsid w:val="795374DD"/>
    <w:rsid w:val="7A881ED8"/>
    <w:rsid w:val="7AA36B73"/>
    <w:rsid w:val="7AFB5558"/>
    <w:rsid w:val="7B435526"/>
    <w:rsid w:val="7B71585E"/>
    <w:rsid w:val="7C2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ind w:right="332"/>
      <w:jc w:val="center"/>
      <w:outlineLvl w:val="1"/>
    </w:pPr>
    <w:rPr>
      <w:rFonts w:ascii="PMingLiU" w:hAnsi="PMingLiU" w:eastAsia="PMingLiU" w:cs="PMingLiU"/>
      <w:sz w:val="44"/>
      <w:szCs w:val="44"/>
      <w:lang w:val="zh-CN" w:eastAsia="zh-CN" w:bidi="zh-CN"/>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仿宋_GB2312" w:hAnsi="仿宋_GB2312" w:eastAsia="仿宋_GB2312" w:cs="仿宋_GB2312"/>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autoRedefine/>
    <w:qFormat/>
    <w:uiPriority w:val="0"/>
    <w:pPr>
      <w:keepNext w:val="0"/>
      <w:keepLines w:val="0"/>
      <w:widowControl w:val="0"/>
      <w:suppressLineNumbers w:val="0"/>
      <w:spacing w:before="240" w:beforeAutospacing="0" w:after="60" w:afterAutospacing="0"/>
      <w:ind w:left="0" w:right="0"/>
      <w:jc w:val="center"/>
      <w:outlineLvl w:val="0"/>
    </w:pPr>
    <w:rPr>
      <w:rFonts w:ascii="Arial" w:hAnsi="Arial" w:eastAsia="宋体" w:cs="Arial"/>
      <w:b/>
      <w:bCs/>
      <w:kern w:val="2"/>
      <w:sz w:val="32"/>
      <w:szCs w:val="32"/>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266" w:firstLine="640"/>
    </w:pPr>
    <w:rPr>
      <w:rFonts w:ascii="仿宋_GB2312" w:hAnsi="仿宋_GB2312" w:eastAsia="仿宋_GB2312" w:cs="仿宋_GB2312"/>
      <w:lang w:val="zh-CN" w:eastAsia="zh-CN" w:bidi="zh-CN"/>
    </w:rPr>
  </w:style>
  <w:style w:type="paragraph" w:customStyle="1" w:styleId="12">
    <w:name w:val="Table Paragraph"/>
    <w:basedOn w:val="1"/>
    <w:autoRedefine/>
    <w:qFormat/>
    <w:uiPriority w:val="1"/>
    <w:rPr>
      <w:rFonts w:ascii="宋体" w:hAnsi="宋体" w:eastAsia="宋体" w:cs="宋体"/>
      <w:lang w:val="zh-CN" w:eastAsia="zh-CN" w:bidi="zh-CN"/>
    </w:rPr>
  </w:style>
  <w:style w:type="character" w:customStyle="1" w:styleId="13">
    <w:name w:val="15"/>
    <w:basedOn w:val="10"/>
    <w:autoRedefine/>
    <w:qFormat/>
    <w:uiPriority w:val="0"/>
    <w:rPr>
      <w:rFonts w:hint="default" w:ascii="Times New Roman" w:hAnsi="Times New Roman" w:cs="Times New Roman"/>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01"/>
    <w:basedOn w:val="10"/>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12401</Words>
  <Characters>12725</Characters>
  <Lines>0</Lines>
  <Paragraphs>0</Paragraphs>
  <TotalTime>29</TotalTime>
  <ScaleCrop>false</ScaleCrop>
  <LinksUpToDate>false</LinksUpToDate>
  <CharactersWithSpaces>12760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2022-02-22T00:38:00Z</dcterms:created>
  <dc:creator>Administrator</dc:creator>
  <cp:lastModifiedBy>Oo羽oO</cp:lastModifiedBy>
  <cp:lastPrinted>2022-03-01T00:52:00Z</cp:lastPrinted>
  <dcterms:modified xsi:type="dcterms:W3CDTF">2024-09-27T08:59:10Z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37A734F9D4B745BAB2F79208D3DDBD0E</vt:lpwstr>
  </property>
  <property fmtid="{D5CDD505-2E9C-101B-9397-08002B2CF9AE}" pid="4" name="commondata">
    <vt:lpwstr>eyJoZGlkIjoiZTZlZmIwNmZmZmQyMjRmYTAzZmE2NThhYWNmMGQwN2UifQ==</vt:lpwstr>
  </property>
</Properties>
</file>